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76D5" w14:textId="11668B11" w:rsidR="00D07C27" w:rsidRDefault="00F73BD6" w:rsidP="00936441">
      <w:pPr>
        <w:pStyle w:val="Heading1"/>
        <w:ind w:right="545"/>
      </w:pPr>
      <w:r>
        <w:t>Point 26 de l’ordre du jour : m</w:t>
      </w:r>
      <w:r w:rsidR="00EC3D26">
        <w:t>ise à jour de la piste de travail 2 du CCWG-Responsabilité</w:t>
      </w:r>
    </w:p>
    <w:p w14:paraId="7716CEA6" w14:textId="1BB4E9E2" w:rsidR="00E00260" w:rsidRPr="00E00260" w:rsidRDefault="00E00260" w:rsidP="00D10DB6">
      <w:pPr>
        <w:pStyle w:val="Heading2"/>
        <w:rPr>
          <w:sz w:val="20"/>
          <w:szCs w:val="20"/>
        </w:rPr>
      </w:pPr>
      <w:r>
        <w:t xml:space="preserve">Note : </w:t>
      </w:r>
      <w:r>
        <w:rPr>
          <w:color w:val="000000" w:themeColor="text1"/>
          <w:sz w:val="20"/>
        </w:rPr>
        <w:t>cette information devra être mise à jour lors de la réunion du GAC afin de prendre en considération la réunion présentielle du CCWG-Responsabilité qui se tiendra dans la ville de Panama le dimanche 24 juin 2018.</w:t>
      </w:r>
    </w:p>
    <w:p w14:paraId="4ABE83AD" w14:textId="0C1E079D" w:rsidR="00E13252" w:rsidRDefault="00E13252" w:rsidP="00D10DB6">
      <w:pPr>
        <w:pStyle w:val="Heading2"/>
      </w:pPr>
      <w:r>
        <w:t>Problématiques</w:t>
      </w:r>
    </w:p>
    <w:p w14:paraId="70D8BD1F" w14:textId="43E77599" w:rsidR="00E00260" w:rsidRDefault="00A92158" w:rsidP="00E00260">
      <w:pPr>
        <w:pStyle w:val="ListParagraph"/>
        <w:numPr>
          <w:ilvl w:val="0"/>
          <w:numId w:val="5"/>
        </w:numPr>
        <w:spacing w:before="100" w:beforeAutospacing="1" w:after="240"/>
        <w:ind w:right="545"/>
        <w:rPr>
          <w:szCs w:val="20"/>
        </w:rPr>
      </w:pPr>
      <w:r>
        <w:t>Rapports des membres de la piste de travail 2 (WS2) du CCWG-Responsabilité nommés par le GAC.</w:t>
      </w:r>
    </w:p>
    <w:p w14:paraId="2EEF2ED9" w14:textId="75E7E1B9" w:rsidR="00023E59" w:rsidRPr="00A92158" w:rsidRDefault="00A92158" w:rsidP="00A92158">
      <w:pPr>
        <w:pStyle w:val="ListParagraph"/>
        <w:numPr>
          <w:ilvl w:val="0"/>
          <w:numId w:val="5"/>
        </w:numPr>
        <w:spacing w:before="100" w:beforeAutospacing="1" w:after="240"/>
        <w:ind w:right="545"/>
        <w:rPr>
          <w:szCs w:val="20"/>
        </w:rPr>
      </w:pPr>
      <w:r>
        <w:t>Rapport final et recommandations de la WS2 du CCWG.</w:t>
      </w:r>
    </w:p>
    <w:p w14:paraId="2FDA9BA2" w14:textId="70484D57" w:rsidR="00E00260" w:rsidRDefault="00831E94" w:rsidP="00E00260">
      <w:pPr>
        <w:pStyle w:val="ListParagraph"/>
        <w:numPr>
          <w:ilvl w:val="0"/>
          <w:numId w:val="5"/>
        </w:numPr>
        <w:spacing w:before="100" w:beforeAutospacing="1" w:after="240"/>
        <w:ind w:right="545"/>
        <w:rPr>
          <w:szCs w:val="20"/>
        </w:rPr>
      </w:pPr>
      <w:r>
        <w:t xml:space="preserve">Position du GAC en tant qu’organisation membre du CCWG. </w:t>
      </w:r>
    </w:p>
    <w:p w14:paraId="24811425" w14:textId="4FF6E149" w:rsidR="00B1475A" w:rsidRDefault="00B1475A" w:rsidP="00D10DB6">
      <w:pPr>
        <w:pStyle w:val="Heading2"/>
      </w:pPr>
      <w:r>
        <w:t>Actions requises de la part du GAC</w:t>
      </w:r>
    </w:p>
    <w:p w14:paraId="0A3A4541" w14:textId="000C5F61" w:rsidR="00D34405" w:rsidRPr="00367D10" w:rsidRDefault="00E00260" w:rsidP="00367D10">
      <w:pPr>
        <w:pStyle w:val="BodyText"/>
        <w:numPr>
          <w:ilvl w:val="0"/>
          <w:numId w:val="16"/>
        </w:numPr>
        <w:ind w:right="545"/>
        <w:rPr>
          <w:b/>
          <w:color w:val="2E74B5" w:themeColor="accent1" w:themeShade="BF"/>
        </w:rPr>
      </w:pPr>
      <w:r>
        <w:rPr>
          <w:b/>
          <w:color w:val="2E74B5" w:themeColor="accent1" w:themeShade="BF"/>
        </w:rPr>
        <w:t>Rapports des membres du GAC</w:t>
      </w:r>
    </w:p>
    <w:p w14:paraId="0E2B3024" w14:textId="7239B86A" w:rsidR="00C40474" w:rsidRDefault="00C40474" w:rsidP="00C40474">
      <w:pPr>
        <w:pStyle w:val="BodyText"/>
        <w:ind w:right="545"/>
      </w:pPr>
      <w:r>
        <w:t>Lors de ses récentes réunions, le GAC a pris l’habitude d’entendre les rapports des membres du CCWG nommés par le GAC. Des rapports intersession ont été préparés et envoyés au GAC par le secrétariat ACIG-GAC.</w:t>
      </w:r>
    </w:p>
    <w:p w14:paraId="29E29033" w14:textId="27AC6DA6" w:rsidR="00C40474" w:rsidRDefault="00C40474" w:rsidP="00C40474">
      <w:pPr>
        <w:pStyle w:val="BodyText"/>
        <w:ind w:right="545"/>
      </w:pPr>
      <w:r>
        <w:t xml:space="preserve">Les membres du CCWG nommés par le GAC sont : l’Argentine, le Brésil, le Canada, le Danemark et l’Iran. </w:t>
      </w:r>
    </w:p>
    <w:p w14:paraId="1567A125" w14:textId="05040222" w:rsidR="00831E94" w:rsidRPr="00367D10" w:rsidRDefault="00A92158" w:rsidP="00367D10">
      <w:pPr>
        <w:pStyle w:val="BodyText"/>
        <w:numPr>
          <w:ilvl w:val="0"/>
          <w:numId w:val="16"/>
        </w:numPr>
        <w:ind w:right="545"/>
        <w:rPr>
          <w:b/>
          <w:color w:val="2E74B5" w:themeColor="accent1" w:themeShade="BF"/>
        </w:rPr>
      </w:pPr>
      <w:r>
        <w:rPr>
          <w:b/>
          <w:color w:val="2E74B5" w:themeColor="accent1" w:themeShade="BF"/>
        </w:rPr>
        <w:t>Version préliminaire du rapport final et des recommandations</w:t>
      </w:r>
    </w:p>
    <w:p w14:paraId="2F010AA4" w14:textId="62080976" w:rsidR="001D64DD" w:rsidRDefault="00A92158" w:rsidP="00A92158">
      <w:pPr>
        <w:pStyle w:val="BodyText"/>
        <w:ind w:right="545"/>
      </w:pPr>
      <w:r>
        <w:t xml:space="preserve">Le CCWG a publié son </w:t>
      </w:r>
      <w:hyperlink r:id="rId8">
        <w:r>
          <w:rPr>
            <w:rStyle w:val="Hyperlink"/>
          </w:rPr>
          <w:t>rapport final</w:t>
        </w:r>
      </w:hyperlink>
      <w:r>
        <w:t>, avec des recommandations, pour commentaires publics, du 30 mars au 11 mai 2018. En théorie, le but était limité à l’identification de contradictions entre les recommandations. La raison pour ce faire était que le CCWG ne peut pas revenir sur des questions de fond car il doit achever ses travaux avant juin 2018.</w:t>
      </w:r>
    </w:p>
    <w:p w14:paraId="7CA01744" w14:textId="2AED4177" w:rsidR="00D97BFC" w:rsidRDefault="00D97BFC" w:rsidP="00A92158">
      <w:pPr>
        <w:pStyle w:val="BodyText"/>
        <w:ind w:right="545"/>
      </w:pPr>
      <w:r>
        <w:t>Un membre du GAC (la France) a présenté des commentaires publics sur la diversité et la compétence.</w:t>
      </w:r>
    </w:p>
    <w:p w14:paraId="6AF533F1" w14:textId="01FA9183" w:rsidR="00D97BFC" w:rsidRDefault="00D97BFC" w:rsidP="00A92158">
      <w:pPr>
        <w:pStyle w:val="BodyText"/>
        <w:ind w:right="545"/>
      </w:pPr>
      <w:r>
        <w:t>Le Conseil d'administration de l’ICANN s’inquiète vis-à-vis de certaines recommandations. Au moment de la préparation du présent document, celles-ci étaient toujours en cours de discussion avec les co-présidents du CCWG. L'objectif est d'élaborer des « directives de mise en œuvre » pour répondre aux préoccupations du Conseil d’administration sans modifier les recommandations. La situation actuelle est présentée dans le tableau ci-dessous.</w:t>
      </w:r>
    </w:p>
    <w:p w14:paraId="67BBBBA0" w14:textId="7069DA21" w:rsidR="00367D10" w:rsidRDefault="00A10D81" w:rsidP="00A92158">
      <w:pPr>
        <w:pStyle w:val="BodyText"/>
        <w:ind w:right="545"/>
      </w:pPr>
      <w:r>
        <w:t>La situation concernant les recommandations tel qu’accordées par le CCWG et publiées pour consultation publique est la suivante :</w:t>
      </w:r>
    </w:p>
    <w:p w14:paraId="27E22564" w14:textId="77777777" w:rsidR="00D662AE" w:rsidRDefault="00D662AE" w:rsidP="00A92158">
      <w:pPr>
        <w:pStyle w:val="BodyText"/>
        <w:ind w:right="545"/>
      </w:pPr>
    </w:p>
    <w:tbl>
      <w:tblPr>
        <w:tblStyle w:val="TableGrid"/>
        <w:tblW w:w="0" w:type="auto"/>
        <w:tblLook w:val="04A0" w:firstRow="1" w:lastRow="0" w:firstColumn="1" w:lastColumn="0" w:noHBand="0" w:noVBand="1"/>
      </w:tblPr>
      <w:tblGrid>
        <w:gridCol w:w="4803"/>
        <w:gridCol w:w="4804"/>
      </w:tblGrid>
      <w:tr w:rsidR="00A10D81" w14:paraId="2A4359DC" w14:textId="77777777" w:rsidTr="000D1296">
        <w:tc>
          <w:tcPr>
            <w:tcW w:w="4803" w:type="dxa"/>
            <w:shd w:val="clear" w:color="auto" w:fill="BDD6EE" w:themeFill="accent1" w:themeFillTint="66"/>
          </w:tcPr>
          <w:p w14:paraId="2FEF778B" w14:textId="007D909A" w:rsidR="00A10D81" w:rsidRPr="000D1296" w:rsidRDefault="00D97BFC" w:rsidP="00A92158">
            <w:pPr>
              <w:pStyle w:val="BodyText"/>
              <w:ind w:right="545"/>
              <w:rPr>
                <w:b/>
                <w:color w:val="000000" w:themeColor="text1"/>
              </w:rPr>
            </w:pPr>
            <w:r>
              <w:rPr>
                <w:b/>
                <w:color w:val="000000" w:themeColor="text1"/>
              </w:rPr>
              <w:t>Recommandation</w:t>
            </w:r>
          </w:p>
        </w:tc>
        <w:tc>
          <w:tcPr>
            <w:tcW w:w="4804" w:type="dxa"/>
            <w:shd w:val="clear" w:color="auto" w:fill="BDD6EE" w:themeFill="accent1" w:themeFillTint="66"/>
          </w:tcPr>
          <w:p w14:paraId="10C9D6D5" w14:textId="4C802992" w:rsidR="00A10D81" w:rsidRPr="000D1296" w:rsidRDefault="00D97BFC" w:rsidP="00A92158">
            <w:pPr>
              <w:pStyle w:val="BodyText"/>
              <w:ind w:right="545"/>
              <w:rPr>
                <w:b/>
                <w:color w:val="000000" w:themeColor="text1"/>
              </w:rPr>
            </w:pPr>
            <w:r>
              <w:rPr>
                <w:b/>
                <w:color w:val="000000" w:themeColor="text1"/>
              </w:rPr>
              <w:t>Commentaire</w:t>
            </w:r>
          </w:p>
        </w:tc>
      </w:tr>
      <w:tr w:rsidR="001A541E" w14:paraId="7268EB83" w14:textId="77777777" w:rsidTr="00A10D81">
        <w:tc>
          <w:tcPr>
            <w:tcW w:w="4803" w:type="dxa"/>
          </w:tcPr>
          <w:p w14:paraId="13F94156" w14:textId="3FE29C2F" w:rsidR="001A541E" w:rsidRPr="002A182A" w:rsidRDefault="001A541E" w:rsidP="00A92158">
            <w:pPr>
              <w:pStyle w:val="BodyText"/>
              <w:ind w:right="545"/>
              <w:rPr>
                <w:b/>
              </w:rPr>
            </w:pPr>
            <w:r>
              <w:rPr>
                <w:b/>
              </w:rPr>
              <w:t>Rapport et toutes les recommandations</w:t>
            </w:r>
          </w:p>
        </w:tc>
        <w:tc>
          <w:tcPr>
            <w:tcW w:w="4804" w:type="dxa"/>
          </w:tcPr>
          <w:p w14:paraId="5C4C33B7" w14:textId="7FCCA3D2" w:rsidR="001A541E" w:rsidRDefault="001A541E" w:rsidP="00A92158">
            <w:pPr>
              <w:pStyle w:val="BodyText"/>
              <w:ind w:right="545"/>
            </w:pPr>
            <w:r>
              <w:t xml:space="preserve">Le GAC ne s’est pas mis d’accord sur une contribution consensuelle. Certains </w:t>
            </w:r>
            <w:r>
              <w:lastRenderedPageBreak/>
              <w:t>membres du GAC ont fait des observations quant au processus de consultation publique et ont défendu des points de vue individuels au niveau opérationnel du CCWG.</w:t>
            </w:r>
          </w:p>
        </w:tc>
      </w:tr>
      <w:tr w:rsidR="00A10D81" w14:paraId="129D9BD8" w14:textId="77777777" w:rsidTr="00A10D81">
        <w:tc>
          <w:tcPr>
            <w:tcW w:w="4803" w:type="dxa"/>
          </w:tcPr>
          <w:p w14:paraId="31990C05" w14:textId="77777777" w:rsidR="00A10D81" w:rsidRPr="00481C0C" w:rsidRDefault="00D97BFC" w:rsidP="00A92158">
            <w:pPr>
              <w:pStyle w:val="BodyText"/>
              <w:ind w:right="545"/>
              <w:rPr>
                <w:b/>
              </w:rPr>
            </w:pPr>
            <w:r>
              <w:rPr>
                <w:b/>
              </w:rPr>
              <w:lastRenderedPageBreak/>
              <w:t>Diversité</w:t>
            </w:r>
          </w:p>
          <w:p w14:paraId="576EE518" w14:textId="77777777" w:rsidR="00481C0C" w:rsidRDefault="00481C0C" w:rsidP="00481C0C">
            <w:pPr>
              <w:pStyle w:val="BodyText"/>
              <w:numPr>
                <w:ilvl w:val="0"/>
                <w:numId w:val="14"/>
              </w:numPr>
              <w:ind w:right="545"/>
            </w:pPr>
            <w:r>
              <w:t>Une définition convenue de la diversité devant s'appliquer au sein de l’ICANN.</w:t>
            </w:r>
          </w:p>
          <w:p w14:paraId="5457BC48" w14:textId="77777777" w:rsidR="00481C0C" w:rsidRDefault="00481C0C" w:rsidP="00481C0C">
            <w:pPr>
              <w:pStyle w:val="BodyText"/>
              <w:numPr>
                <w:ilvl w:val="0"/>
                <w:numId w:val="14"/>
              </w:numPr>
              <w:ind w:right="545"/>
            </w:pPr>
            <w:r>
              <w:t>Les SO et AC devront examiner et publier leurs propres initiatives pour accroître la diversité interne, avec le soutien de l’organisation ICANN, le cas échéant.</w:t>
            </w:r>
          </w:p>
          <w:p w14:paraId="74DB1467" w14:textId="3D925379" w:rsidR="00481C0C" w:rsidRDefault="00481C0C" w:rsidP="00A92158">
            <w:pPr>
              <w:pStyle w:val="BodyText"/>
              <w:ind w:right="545"/>
            </w:pPr>
          </w:p>
        </w:tc>
        <w:tc>
          <w:tcPr>
            <w:tcW w:w="4804" w:type="dxa"/>
          </w:tcPr>
          <w:p w14:paraId="5D1293AB" w14:textId="77777777" w:rsidR="00A10D81" w:rsidRDefault="000D1296" w:rsidP="00A92158">
            <w:pPr>
              <w:pStyle w:val="BodyText"/>
              <w:ind w:right="545"/>
            </w:pPr>
            <w:r>
              <w:rPr>
                <w:b/>
              </w:rPr>
              <w:t>France</w:t>
            </w:r>
            <w:r>
              <w:t> : Le gouvernement français regrette que la proposition de créer un « bureau de la diversité », le principal outil concret et ambitieux pour améliorer la diversité au sein de l’ICANN, n’ait pas été incluse parmi les recommandations du CCWG.</w:t>
            </w:r>
          </w:p>
          <w:p w14:paraId="13AA9833" w14:textId="73EF6E0D" w:rsidR="00E15156" w:rsidRDefault="00E15156" w:rsidP="00A92158">
            <w:pPr>
              <w:pStyle w:val="BodyText"/>
              <w:ind w:right="545"/>
            </w:pPr>
            <w:r>
              <w:t>Les propositions des sous-groupes chargés de la diversité contiennent plusieurs avancées, y compris une définition multidimensionnelle de la diversité, la publication régulière de données et un système pour que la communauté puisse envoyer des requêtes à l’ICANN au sujet des progrès en matière de diversité.</w:t>
            </w:r>
            <w:r>
              <w:rPr>
                <w:rStyle w:val="FootnoteReference"/>
              </w:rPr>
              <w:footnoteReference w:id="1"/>
            </w:r>
          </w:p>
        </w:tc>
      </w:tr>
      <w:tr w:rsidR="00A10D81" w14:paraId="11AE53A9" w14:textId="77777777" w:rsidTr="00A10D81">
        <w:tc>
          <w:tcPr>
            <w:tcW w:w="4803" w:type="dxa"/>
          </w:tcPr>
          <w:p w14:paraId="4370739A" w14:textId="650B038A" w:rsidR="00A10D81" w:rsidRPr="002A182A" w:rsidRDefault="00D97BFC" w:rsidP="00A92158">
            <w:pPr>
              <w:pStyle w:val="BodyText"/>
              <w:ind w:right="545"/>
              <w:rPr>
                <w:b/>
              </w:rPr>
            </w:pPr>
            <w:r>
              <w:rPr>
                <w:b/>
              </w:rPr>
              <w:t>Lignes directrices pour une conduite de bonne foi lors de la révocation de membres individuels du Conseil</w:t>
            </w:r>
          </w:p>
        </w:tc>
        <w:tc>
          <w:tcPr>
            <w:tcW w:w="4804" w:type="dxa"/>
          </w:tcPr>
          <w:p w14:paraId="4C0FB562" w14:textId="278D0335" w:rsidR="00A10D81" w:rsidRDefault="001A541E" w:rsidP="00A92158">
            <w:pPr>
              <w:pStyle w:val="BodyText"/>
              <w:ind w:right="545"/>
            </w:pPr>
            <w:r>
              <w:t>Aucune discussion du GAC.</w:t>
            </w:r>
          </w:p>
        </w:tc>
      </w:tr>
      <w:tr w:rsidR="00A10D81" w14:paraId="158A80C0" w14:textId="77777777" w:rsidTr="00A10D81">
        <w:tc>
          <w:tcPr>
            <w:tcW w:w="4803" w:type="dxa"/>
          </w:tcPr>
          <w:p w14:paraId="5FA1C6D2" w14:textId="77777777" w:rsidR="00A10D81" w:rsidRPr="00E838B6" w:rsidRDefault="00D97BFC" w:rsidP="00A92158">
            <w:pPr>
              <w:pStyle w:val="BodyText"/>
              <w:ind w:right="545"/>
              <w:rPr>
                <w:b/>
              </w:rPr>
            </w:pPr>
            <w:r>
              <w:rPr>
                <w:b/>
              </w:rPr>
              <w:t>Cadre d’interprétation des droits de l’homme</w:t>
            </w:r>
          </w:p>
          <w:p w14:paraId="67CC32D0" w14:textId="1BBCB75B" w:rsidR="00481C0C" w:rsidRDefault="00E838B6" w:rsidP="00A92158">
            <w:pPr>
              <w:pStyle w:val="BodyText"/>
              <w:numPr>
                <w:ilvl w:val="0"/>
                <w:numId w:val="15"/>
              </w:numPr>
              <w:ind w:right="545"/>
            </w:pPr>
            <w:r>
              <w:t>L’ICANN devra appliquer un cadre d’interprétation proposé et des considérations concernant le statut constitutif de l’ICANN relatif aux droits de l’homme.</w:t>
            </w:r>
          </w:p>
        </w:tc>
        <w:tc>
          <w:tcPr>
            <w:tcW w:w="4804" w:type="dxa"/>
          </w:tcPr>
          <w:p w14:paraId="1FC64D26" w14:textId="19864B13" w:rsidR="00A10D81" w:rsidRDefault="001A541E" w:rsidP="00A92158">
            <w:pPr>
              <w:pStyle w:val="BodyText"/>
              <w:ind w:right="545"/>
            </w:pPr>
            <w:r>
              <w:t>Aucune discussion de fond du GAC.</w:t>
            </w:r>
          </w:p>
        </w:tc>
      </w:tr>
      <w:tr w:rsidR="00A10D81" w14:paraId="5E01705A" w14:textId="77777777" w:rsidTr="00A10D81">
        <w:tc>
          <w:tcPr>
            <w:tcW w:w="4803" w:type="dxa"/>
          </w:tcPr>
          <w:p w14:paraId="6B64FF36" w14:textId="77777777" w:rsidR="00A10D81" w:rsidRPr="00481C0C" w:rsidRDefault="00D97BFC" w:rsidP="00A92158">
            <w:pPr>
              <w:pStyle w:val="BodyText"/>
              <w:ind w:right="545"/>
              <w:rPr>
                <w:b/>
              </w:rPr>
            </w:pPr>
            <w:r>
              <w:rPr>
                <w:b/>
              </w:rPr>
              <w:t>Compétence</w:t>
            </w:r>
          </w:p>
          <w:p w14:paraId="00A082A5" w14:textId="3C9ED1B6" w:rsidR="00481C0C" w:rsidRDefault="00481C0C" w:rsidP="00481C0C">
            <w:pPr>
              <w:pStyle w:val="BodyText"/>
              <w:numPr>
                <w:ilvl w:val="0"/>
                <w:numId w:val="13"/>
              </w:numPr>
              <w:ind w:right="545"/>
            </w:pPr>
            <w:r>
              <w:t xml:space="preserve">L’ICANN doit être </w:t>
            </w:r>
            <w:r w:rsidR="00F73BD6">
              <w:t>proactive</w:t>
            </w:r>
            <w:r>
              <w:t xml:space="preserve"> dans la facilitation des licences de l’OFAC.</w:t>
            </w:r>
          </w:p>
          <w:p w14:paraId="28C0AE63" w14:textId="605BC2AF" w:rsidR="00481C0C" w:rsidRDefault="00481C0C" w:rsidP="00481C0C">
            <w:pPr>
              <w:pStyle w:val="BodyText"/>
              <w:numPr>
                <w:ilvl w:val="0"/>
                <w:numId w:val="13"/>
              </w:numPr>
              <w:ind w:right="545"/>
            </w:pPr>
            <w:r>
              <w:t xml:space="preserve">Une approche de « menu » pour permettre aux parties aux contrats de l’ICANN de choisir la législation applicable avant de conclure un contrat est appuyée, quoiqu’il existe </w:t>
            </w:r>
            <w:r>
              <w:lastRenderedPageBreak/>
              <w:t>d’autres options.</w:t>
            </w:r>
          </w:p>
          <w:p w14:paraId="7D7A0656" w14:textId="414EA1C3" w:rsidR="00481C0C" w:rsidRDefault="00481C0C" w:rsidP="00A92158">
            <w:pPr>
              <w:pStyle w:val="BodyText"/>
              <w:ind w:right="545"/>
            </w:pPr>
          </w:p>
        </w:tc>
        <w:tc>
          <w:tcPr>
            <w:tcW w:w="4804" w:type="dxa"/>
          </w:tcPr>
          <w:p w14:paraId="3C8CBD87" w14:textId="6428CAFC" w:rsidR="00A10D81" w:rsidRDefault="000D1296" w:rsidP="00A92158">
            <w:pPr>
              <w:pStyle w:val="BodyText"/>
              <w:ind w:right="545"/>
            </w:pPr>
            <w:r>
              <w:rPr>
                <w:b/>
              </w:rPr>
              <w:lastRenderedPageBreak/>
              <w:t>France</w:t>
            </w:r>
            <w:r>
              <w:t xml:space="preserve"> : Compte tenu des forts désaccords au sein du sous-groupe, le gouvernement français encourage les membres du sous-groupe à explorer de nouvelles voies pour introduire des immunités vis-à-vis de la compétence, notamment des immunités partielles, afin d’assurer son indépendance et sa redevabilité à l'ensemble de la </w:t>
            </w:r>
            <w:r>
              <w:lastRenderedPageBreak/>
              <w:t>communauté internationale de l'Internet.</w:t>
            </w:r>
            <w:r>
              <w:rPr>
                <w:rStyle w:val="FootnoteReference"/>
              </w:rPr>
              <w:footnoteReference w:id="2"/>
            </w:r>
          </w:p>
          <w:p w14:paraId="4D52011C" w14:textId="2B7EF4AA" w:rsidR="00927979" w:rsidRDefault="00927979" w:rsidP="00A92158">
            <w:pPr>
              <w:pStyle w:val="BodyText"/>
              <w:ind w:right="545"/>
            </w:pPr>
            <w:r>
              <w:t>Brésil : Le GAC devrait avoir suffisamment de temps pour discuter des recommandations concernant la compétence et atteindre une position commune, si possible.</w:t>
            </w:r>
            <w:r>
              <w:rPr>
                <w:rStyle w:val="FootnoteReference"/>
              </w:rPr>
              <w:footnoteReference w:id="3"/>
            </w:r>
          </w:p>
        </w:tc>
      </w:tr>
      <w:tr w:rsidR="00A10D81" w14:paraId="3AEE549B" w14:textId="77777777" w:rsidTr="00A10D81">
        <w:tc>
          <w:tcPr>
            <w:tcW w:w="4803" w:type="dxa"/>
          </w:tcPr>
          <w:p w14:paraId="78401D16" w14:textId="4B12F40D" w:rsidR="00A10D81" w:rsidRPr="002A182A" w:rsidRDefault="00D97BFC" w:rsidP="00A92158">
            <w:pPr>
              <w:pStyle w:val="BodyText"/>
              <w:ind w:right="545"/>
              <w:rPr>
                <w:b/>
              </w:rPr>
            </w:pPr>
            <w:r>
              <w:rPr>
                <w:b/>
              </w:rPr>
              <w:lastRenderedPageBreak/>
              <w:t>Ombudsman de l’ICANN</w:t>
            </w:r>
          </w:p>
        </w:tc>
        <w:tc>
          <w:tcPr>
            <w:tcW w:w="4804" w:type="dxa"/>
          </w:tcPr>
          <w:p w14:paraId="7DCD457B" w14:textId="77777777" w:rsidR="00A10D81" w:rsidRDefault="001A541E" w:rsidP="00A92158">
            <w:pPr>
              <w:pStyle w:val="BodyText"/>
              <w:ind w:right="545"/>
            </w:pPr>
            <w:r>
              <w:t>Aucune discussion de fond du GAC.</w:t>
            </w:r>
          </w:p>
          <w:p w14:paraId="4EA8C084" w14:textId="2BB6C91C" w:rsidR="00D662AE" w:rsidRDefault="00D662AE" w:rsidP="00A92158">
            <w:pPr>
              <w:pStyle w:val="BodyText"/>
              <w:ind w:right="545"/>
            </w:pPr>
            <w:r>
              <w:t>Le Conseil d’administration a quelques inquiétudes. En cours de discussion avec les co-présidents du CCWG.</w:t>
            </w:r>
          </w:p>
        </w:tc>
      </w:tr>
      <w:tr w:rsidR="00A10D81" w14:paraId="131598E2" w14:textId="77777777" w:rsidTr="00A10D81">
        <w:tc>
          <w:tcPr>
            <w:tcW w:w="4803" w:type="dxa"/>
          </w:tcPr>
          <w:p w14:paraId="398EB55E" w14:textId="26A70DCD" w:rsidR="00A10D81" w:rsidRPr="00481C0C" w:rsidRDefault="00D97BFC" w:rsidP="00A92158">
            <w:pPr>
              <w:pStyle w:val="BodyText"/>
              <w:ind w:right="545"/>
              <w:rPr>
                <w:b/>
              </w:rPr>
            </w:pPr>
            <w:r>
              <w:rPr>
                <w:b/>
              </w:rPr>
              <w:t>Responsabilité des SO et des AC</w:t>
            </w:r>
          </w:p>
          <w:p w14:paraId="32D096C4" w14:textId="4EDEA511" w:rsidR="00481C0C" w:rsidRDefault="00481C0C" w:rsidP="00481C0C">
            <w:pPr>
              <w:pStyle w:val="BodyText"/>
              <w:numPr>
                <w:ilvl w:val="0"/>
                <w:numId w:val="15"/>
              </w:numPr>
              <w:ind w:right="545"/>
            </w:pPr>
            <w:r>
              <w:t>Les SO et AC doivent mettre en œuvre les bonnes pratiques recommandées (en fonction de l’applicabilité à leur structure et objet) en ce qui concerne la responsabilité, la transparence, la participation, la sensibilisation et les mises à jour des règles et procédures.</w:t>
            </w:r>
          </w:p>
          <w:p w14:paraId="6430912D" w14:textId="68F5D239" w:rsidR="00481C0C" w:rsidRDefault="00481C0C" w:rsidP="00A92158">
            <w:pPr>
              <w:pStyle w:val="BodyText"/>
              <w:ind w:right="545"/>
            </w:pPr>
          </w:p>
        </w:tc>
        <w:tc>
          <w:tcPr>
            <w:tcW w:w="4804" w:type="dxa"/>
          </w:tcPr>
          <w:p w14:paraId="363E6781" w14:textId="369B0A3E" w:rsidR="00A10D81" w:rsidRDefault="002B5CC4" w:rsidP="00A92158">
            <w:pPr>
              <w:pStyle w:val="BodyText"/>
              <w:ind w:right="545"/>
            </w:pPr>
            <w:r>
              <w:t>Aucune discussion de fond du GAC.</w:t>
            </w:r>
          </w:p>
        </w:tc>
      </w:tr>
      <w:tr w:rsidR="00A10D81" w14:paraId="10C269E3" w14:textId="77777777" w:rsidTr="00A10D81">
        <w:tc>
          <w:tcPr>
            <w:tcW w:w="4803" w:type="dxa"/>
          </w:tcPr>
          <w:p w14:paraId="3E96C17C" w14:textId="7E294E4F" w:rsidR="00A10D81" w:rsidRPr="002A182A" w:rsidRDefault="00481C0C" w:rsidP="00A92158">
            <w:pPr>
              <w:pStyle w:val="BodyText"/>
              <w:ind w:right="545"/>
              <w:rPr>
                <w:b/>
              </w:rPr>
            </w:pPr>
            <w:r>
              <w:rPr>
                <w:b/>
              </w:rPr>
              <w:t>Responsabilité du personnel :</w:t>
            </w:r>
          </w:p>
        </w:tc>
        <w:tc>
          <w:tcPr>
            <w:tcW w:w="4804" w:type="dxa"/>
          </w:tcPr>
          <w:p w14:paraId="38899268" w14:textId="6A121DB3" w:rsidR="00A10D81" w:rsidRDefault="001A541E" w:rsidP="00A92158">
            <w:pPr>
              <w:pStyle w:val="BodyText"/>
              <w:ind w:right="545"/>
            </w:pPr>
            <w:r>
              <w:t>Aucune discussion du GAC.</w:t>
            </w:r>
          </w:p>
        </w:tc>
      </w:tr>
      <w:tr w:rsidR="00A10D81" w14:paraId="16710921" w14:textId="77777777" w:rsidTr="00A10D81">
        <w:tc>
          <w:tcPr>
            <w:tcW w:w="4803" w:type="dxa"/>
          </w:tcPr>
          <w:p w14:paraId="681053DA" w14:textId="71C9326F" w:rsidR="00A10D81" w:rsidRPr="00481C0C" w:rsidRDefault="00D97BFC" w:rsidP="00A92158">
            <w:pPr>
              <w:pStyle w:val="BodyText"/>
              <w:ind w:right="545"/>
              <w:rPr>
                <w:b/>
              </w:rPr>
            </w:pPr>
            <w:r>
              <w:rPr>
                <w:b/>
              </w:rPr>
              <w:t>Transparence de l’ICANN</w:t>
            </w:r>
          </w:p>
          <w:p w14:paraId="38969D45" w14:textId="77777777" w:rsidR="00481C0C" w:rsidRDefault="00481C0C" w:rsidP="00481C0C">
            <w:pPr>
              <w:pStyle w:val="BodyText"/>
              <w:numPr>
                <w:ilvl w:val="0"/>
                <w:numId w:val="15"/>
              </w:numPr>
              <w:ind w:right="545"/>
            </w:pPr>
            <w:r>
              <w:t>L’ICANN devra faire part régulièrement et publiquement de ses échanges avec les gouvernements.</w:t>
            </w:r>
          </w:p>
          <w:p w14:paraId="0D64F598" w14:textId="1A2FC57A" w:rsidR="00481C0C" w:rsidRDefault="00481C0C" w:rsidP="00A92158">
            <w:pPr>
              <w:pStyle w:val="BodyText"/>
              <w:numPr>
                <w:ilvl w:val="0"/>
                <w:numId w:val="15"/>
              </w:numPr>
              <w:ind w:right="545"/>
            </w:pPr>
            <w:r>
              <w:t>L’ICANN devra améliorer ses dispositions quant à la divulgation des informations et la dénonciation.</w:t>
            </w:r>
          </w:p>
        </w:tc>
        <w:tc>
          <w:tcPr>
            <w:tcW w:w="4804" w:type="dxa"/>
          </w:tcPr>
          <w:p w14:paraId="08E05507" w14:textId="77777777" w:rsidR="00A10D81" w:rsidRDefault="002B5CC4" w:rsidP="00A92158">
            <w:pPr>
              <w:pStyle w:val="BodyText"/>
              <w:ind w:right="545"/>
            </w:pPr>
            <w:r>
              <w:t>Aucune discussion du GAC.</w:t>
            </w:r>
          </w:p>
          <w:p w14:paraId="752E90AC" w14:textId="479DA9F4" w:rsidR="00D662AE" w:rsidRDefault="00D662AE" w:rsidP="00A92158">
            <w:pPr>
              <w:pStyle w:val="BodyText"/>
              <w:ind w:right="545"/>
            </w:pPr>
            <w:r>
              <w:t>Le Conseil d’administration a quelques inquiétudes. En cours de discussion avec les co-présidents du CCWG.</w:t>
            </w:r>
          </w:p>
        </w:tc>
      </w:tr>
    </w:tbl>
    <w:p w14:paraId="565591CE" w14:textId="5CC3E9BD" w:rsidR="001D64DD" w:rsidRDefault="001D64DD" w:rsidP="001D64DD">
      <w:pPr>
        <w:pStyle w:val="BodyText"/>
        <w:ind w:right="545"/>
      </w:pPr>
    </w:p>
    <w:p w14:paraId="084AABDB" w14:textId="1E640A76" w:rsidR="001D64DD" w:rsidRPr="001A541E" w:rsidRDefault="00E00260" w:rsidP="001A541E">
      <w:pPr>
        <w:pStyle w:val="BodyText"/>
        <w:numPr>
          <w:ilvl w:val="0"/>
          <w:numId w:val="16"/>
        </w:numPr>
        <w:ind w:right="545"/>
        <w:rPr>
          <w:b/>
          <w:color w:val="2E74B5" w:themeColor="accent1" w:themeShade="BF"/>
        </w:rPr>
      </w:pPr>
      <w:r>
        <w:rPr>
          <w:b/>
          <w:color w:val="2E74B5" w:themeColor="accent1" w:themeShade="BF"/>
        </w:rPr>
        <w:t xml:space="preserve">Position du GAC en tant qu’organisation membre du CCWG </w:t>
      </w:r>
    </w:p>
    <w:p w14:paraId="5171B0E4" w14:textId="33E00FE1" w:rsidR="00352E3D" w:rsidRDefault="007F0696" w:rsidP="00352E3D">
      <w:pPr>
        <w:pStyle w:val="BodyText"/>
        <w:ind w:right="545"/>
      </w:pPr>
      <w:r>
        <w:t>Le GAC (avec d’autres SO et AC) est une organisation membre de ce CCWG. La</w:t>
      </w:r>
      <w:r w:rsidR="00F73BD6">
        <w:t xml:space="preserve"> </w:t>
      </w:r>
      <w:hyperlink r:id="rId9">
        <w:r>
          <w:rPr>
            <w:rStyle w:val="Hyperlink"/>
          </w:rPr>
          <w:t>charte</w:t>
        </w:r>
      </w:hyperlink>
      <w:r>
        <w:t xml:space="preserve"> prévoit que : </w:t>
      </w:r>
      <w:r>
        <w:rPr>
          <w:i/>
        </w:rPr>
        <w:t>« [...] chacune des organisations membres, conformément à leurs propres règles et procédures, examinera et discutera les propositions préliminaires et décidera s’il est convenable d’adopter les recommandations incluses dans le/s projet/s ».</w:t>
      </w:r>
    </w:p>
    <w:p w14:paraId="59B41F0B" w14:textId="4AC105B8" w:rsidR="00352E3D" w:rsidRDefault="00F80CBA" w:rsidP="00352E3D">
      <w:pPr>
        <w:pStyle w:val="BodyText"/>
        <w:ind w:right="545"/>
      </w:pPr>
      <w:r>
        <w:lastRenderedPageBreak/>
        <w:t>Le GAC peut répondre de plusieurs façons :</w:t>
      </w:r>
    </w:p>
    <w:p w14:paraId="6A052E3F" w14:textId="089BCF3B" w:rsidR="00E5754C" w:rsidRDefault="00E5754C" w:rsidP="00E5754C">
      <w:pPr>
        <w:pStyle w:val="BodyText"/>
        <w:numPr>
          <w:ilvl w:val="0"/>
          <w:numId w:val="18"/>
        </w:numPr>
        <w:ind w:right="545"/>
      </w:pPr>
      <w:r>
        <w:t>Soutenir l’adoption de toutes les recommandations.</w:t>
      </w:r>
    </w:p>
    <w:p w14:paraId="5C69C0FB" w14:textId="14571A6B" w:rsidR="00E5754C" w:rsidRDefault="00E5754C" w:rsidP="00E5754C">
      <w:pPr>
        <w:pStyle w:val="BodyText"/>
        <w:numPr>
          <w:ilvl w:val="0"/>
          <w:numId w:val="18"/>
        </w:numPr>
        <w:ind w:right="545"/>
      </w:pPr>
      <w:r>
        <w:t>Indiquer les points de désaccord spécifiques et proposer des alternatives. Cela pourrait inclure, par exemple, des questions particulières à aborder dans le cadre du processus de mise en œuvre ; et/ou la poursuite de la révision de questions litigieuses dans un autre forum (peut-être plus simple et requérant moins de ressources).</w:t>
      </w:r>
    </w:p>
    <w:p w14:paraId="412A8102" w14:textId="4859A74A" w:rsidR="00F80CBA" w:rsidRPr="00D662AE" w:rsidRDefault="007F0696" w:rsidP="00E5754C">
      <w:pPr>
        <w:pStyle w:val="BodyText"/>
        <w:numPr>
          <w:ilvl w:val="0"/>
          <w:numId w:val="18"/>
        </w:numPr>
        <w:ind w:right="545"/>
      </w:pPr>
      <w:r>
        <w:t xml:space="preserve">Quant aux recommandations de la piste de travail 1 du CCWG, le GAC a exprimé sa position comme suit : </w:t>
      </w:r>
      <w:r>
        <w:rPr>
          <w:i/>
        </w:rPr>
        <w:t>« Alors que certaines délégations ont exprimé leur soutien à la proposition, d’autres n'étaient pas en position d’approuver la proposition dans son ensemble. Malgré ces différences d'opinion, le GAC ne voit aucune objection à la transmission de la proposition au Conseil d’administration de l’ICANN ».</w:t>
      </w:r>
      <w:r>
        <w:rPr>
          <w:rStyle w:val="FootnoteReference"/>
        </w:rPr>
        <w:footnoteReference w:id="4"/>
      </w:r>
    </w:p>
    <w:p w14:paraId="3273998D" w14:textId="77777777" w:rsidR="00D662AE" w:rsidRDefault="00D662AE" w:rsidP="00D662AE">
      <w:pPr>
        <w:pStyle w:val="BodyText"/>
        <w:ind w:left="360" w:right="545"/>
      </w:pPr>
    </w:p>
    <w:p w14:paraId="3B2525D7" w14:textId="6E71691F" w:rsidR="001A5355" w:rsidRDefault="00B1475A" w:rsidP="00D10DB6">
      <w:pPr>
        <w:pStyle w:val="Heading2"/>
      </w:pPr>
      <w:r>
        <w:t>Position actuelle</w:t>
      </w:r>
    </w:p>
    <w:p w14:paraId="4D89A73C" w14:textId="77777777" w:rsidR="002A182A" w:rsidRDefault="002A182A" w:rsidP="00E838B6">
      <w:pPr>
        <w:pStyle w:val="BodyText"/>
      </w:pPr>
      <w:r>
        <w:t>Au moment de la préparation du présent document :</w:t>
      </w:r>
    </w:p>
    <w:p w14:paraId="28B11235" w14:textId="69FA9C7E" w:rsidR="00D662AE" w:rsidRDefault="00D662AE" w:rsidP="002A182A">
      <w:pPr>
        <w:pStyle w:val="BodyText"/>
        <w:numPr>
          <w:ilvl w:val="0"/>
          <w:numId w:val="19"/>
        </w:numPr>
      </w:pPr>
      <w:r>
        <w:t>Aucune séance plénière du CCWG n'a eu lieu depuis l'ICANN61.</w:t>
      </w:r>
    </w:p>
    <w:p w14:paraId="1502D2F7" w14:textId="39A7AB77" w:rsidR="00207ED8" w:rsidRDefault="002A182A" w:rsidP="002A182A">
      <w:pPr>
        <w:pStyle w:val="BodyText"/>
        <w:numPr>
          <w:ilvl w:val="0"/>
          <w:numId w:val="19"/>
        </w:numPr>
      </w:pPr>
      <w:r>
        <w:t>Les co-présidents du CCWG examinaient toujours les préoccupations du Conseil de l’ICANN avec certaines recommandations préliminaires.</w:t>
      </w:r>
    </w:p>
    <w:p w14:paraId="1E440D17" w14:textId="46B9767A" w:rsidR="002A182A" w:rsidRDefault="002A182A" w:rsidP="002A182A">
      <w:pPr>
        <w:pStyle w:val="BodyText"/>
        <w:numPr>
          <w:ilvl w:val="0"/>
          <w:numId w:val="19"/>
        </w:numPr>
      </w:pPr>
      <w:r>
        <w:t>Les dispositions pour la présentation du rapport et des recommandations qui devaient être présentées aux organisations pour leur considération n'avaient pas été finalisées.</w:t>
      </w:r>
    </w:p>
    <w:p w14:paraId="3B466CDB" w14:textId="1EF1531D" w:rsidR="00D10DB6" w:rsidRDefault="00D10DB6" w:rsidP="000F5927">
      <w:pPr>
        <w:widowControl w:val="0"/>
        <w:autoSpaceDE w:val="0"/>
        <w:autoSpaceDN w:val="0"/>
        <w:adjustRightInd w:val="0"/>
        <w:spacing w:after="200" w:line="276" w:lineRule="auto"/>
        <w:ind w:right="545"/>
        <w:jc w:val="both"/>
        <w:rPr>
          <w:rFonts w:ascii="Century Gothic" w:eastAsia="Calibri" w:hAnsi="Century Gothic" w:cs="Century Gothic"/>
          <w:sz w:val="20"/>
          <w:szCs w:val="20"/>
        </w:rPr>
      </w:pPr>
    </w:p>
    <w:p w14:paraId="03097BF6" w14:textId="5FBAE542" w:rsidR="00D10DB6" w:rsidRDefault="00D10DB6" w:rsidP="00D10DB6">
      <w:pPr>
        <w:pStyle w:val="Heading2"/>
      </w:pPr>
      <w:r>
        <w:t>Informations complémentaires</w:t>
      </w:r>
    </w:p>
    <w:p w14:paraId="7C0ED2D3" w14:textId="2535D3AD" w:rsidR="00D10DB6" w:rsidRPr="00D10DB6" w:rsidRDefault="003A47C5" w:rsidP="00D10DB6">
      <w:pPr>
        <w:pStyle w:val="BodyText"/>
        <w:rPr>
          <w:rStyle w:val="Hyperlink"/>
        </w:rPr>
      </w:pPr>
      <w:hyperlink r:id="rId10" w:history="1">
        <w:r w:rsidR="00D10DB6">
          <w:rPr>
            <w:rStyle w:val="Hyperlink"/>
          </w:rPr>
          <w:t xml:space="preserve">Piste de travail 2 (WS2) du CCWG-Responsabilité </w:t>
        </w:r>
      </w:hyperlink>
    </w:p>
    <w:p w14:paraId="1FF9F184" w14:textId="3F2A66EA" w:rsidR="00D10DB6" w:rsidRPr="00D10DB6" w:rsidRDefault="003A47C5" w:rsidP="00D10DB6">
      <w:pPr>
        <w:pStyle w:val="BodyText"/>
        <w:rPr>
          <w:rStyle w:val="Hyperlink"/>
        </w:rPr>
      </w:pPr>
      <w:hyperlink r:id="rId11" w:history="1"/>
      <w:hyperlink r:id="rId12" w:history="1">
        <w:r w:rsidR="00D10DB6">
          <w:rPr>
            <w:rStyle w:val="Hyperlink"/>
          </w:rPr>
          <w:t>Sous-groupe du CCWG-Responsabilité sur la compétence</w:t>
        </w:r>
      </w:hyperlink>
    </w:p>
    <w:p w14:paraId="2A6D99FC" w14:textId="20913CA6" w:rsidR="00D10DB6" w:rsidRDefault="003A47C5" w:rsidP="00D10DB6">
      <w:pPr>
        <w:widowControl w:val="0"/>
        <w:autoSpaceDE w:val="0"/>
        <w:autoSpaceDN w:val="0"/>
        <w:adjustRightInd w:val="0"/>
        <w:spacing w:after="200" w:line="276" w:lineRule="auto"/>
        <w:ind w:right="545"/>
        <w:jc w:val="both"/>
        <w:rPr>
          <w:rFonts w:ascii="Century Gothic" w:eastAsia="Calibri" w:hAnsi="Century Gothic"/>
          <w:sz w:val="20"/>
          <w:szCs w:val="22"/>
        </w:rPr>
      </w:pPr>
      <w:hyperlink r:id="rId13" w:history="1"/>
      <w:hyperlink r:id="rId14">
        <w:r w:rsidR="00D10DB6">
          <w:rPr>
            <w:rStyle w:val="Hyperlink"/>
            <w:rFonts w:ascii="Century Gothic" w:hAnsi="Century Gothic"/>
            <w:sz w:val="20"/>
          </w:rPr>
          <w:t>Sous-groupe du CCWG-Responsabilité sur la diversité</w:t>
        </w:r>
      </w:hyperlink>
    </w:p>
    <w:p w14:paraId="18B97190" w14:textId="047FE81C" w:rsidR="00C77E9F" w:rsidRDefault="003A47C5" w:rsidP="00D10DB6">
      <w:pPr>
        <w:widowControl w:val="0"/>
        <w:autoSpaceDE w:val="0"/>
        <w:autoSpaceDN w:val="0"/>
        <w:adjustRightInd w:val="0"/>
        <w:spacing w:after="200" w:line="276" w:lineRule="auto"/>
        <w:ind w:right="545"/>
        <w:jc w:val="both"/>
        <w:rPr>
          <w:rFonts w:ascii="Century Gothic" w:eastAsia="Calibri" w:hAnsi="Century Gothic"/>
          <w:sz w:val="20"/>
          <w:szCs w:val="22"/>
        </w:rPr>
      </w:pPr>
      <w:hyperlink r:id="rId15">
        <w:r w:rsidR="00F664F7">
          <w:rPr>
            <w:rStyle w:val="Hyperlink"/>
            <w:rFonts w:ascii="Century Gothic" w:hAnsi="Century Gothic"/>
            <w:sz w:val="20"/>
          </w:rPr>
          <w:t>Sous-groupe du CCWG-Responsabilité sur les droits de l’homme</w:t>
        </w:r>
      </w:hyperlink>
    </w:p>
    <w:p w14:paraId="0BFFDDDE" w14:textId="7A345739" w:rsidR="00C77E9F" w:rsidRDefault="003A47C5" w:rsidP="00D10DB6">
      <w:pPr>
        <w:widowControl w:val="0"/>
        <w:autoSpaceDE w:val="0"/>
        <w:autoSpaceDN w:val="0"/>
        <w:adjustRightInd w:val="0"/>
        <w:spacing w:after="200" w:line="276" w:lineRule="auto"/>
        <w:ind w:right="545"/>
        <w:jc w:val="both"/>
        <w:rPr>
          <w:rFonts w:ascii="Century Gothic" w:eastAsia="Calibri" w:hAnsi="Century Gothic"/>
          <w:sz w:val="20"/>
          <w:szCs w:val="22"/>
        </w:rPr>
      </w:pPr>
      <w:hyperlink r:id="rId16">
        <w:r w:rsidR="00F664F7">
          <w:rPr>
            <w:rStyle w:val="Hyperlink"/>
            <w:rFonts w:ascii="Century Gothic" w:hAnsi="Century Gothic"/>
            <w:sz w:val="20"/>
          </w:rPr>
          <w:t>Sous-groupe du CCWG-Responsabilité sur la responsabilité des SO et AC</w:t>
        </w:r>
      </w:hyperlink>
    </w:p>
    <w:p w14:paraId="5D147C92" w14:textId="77777777" w:rsidR="00D10DB6" w:rsidRDefault="00D10DB6" w:rsidP="00D10DB6">
      <w:pPr>
        <w:widowControl w:val="0"/>
        <w:autoSpaceDE w:val="0"/>
        <w:autoSpaceDN w:val="0"/>
        <w:adjustRightInd w:val="0"/>
        <w:spacing w:after="200" w:line="276" w:lineRule="auto"/>
        <w:ind w:right="545"/>
        <w:jc w:val="both"/>
        <w:rPr>
          <w:rFonts w:ascii="Century Gothic" w:eastAsia="Calibri" w:hAnsi="Century Gothic"/>
          <w:sz w:val="20"/>
          <w:szCs w:val="22"/>
        </w:rPr>
      </w:pPr>
    </w:p>
    <w:p w14:paraId="75FBDFE7" w14:textId="77777777" w:rsidR="00D10DB6" w:rsidRDefault="00D10DB6" w:rsidP="00D10DB6">
      <w:pPr>
        <w:widowControl w:val="0"/>
        <w:autoSpaceDE w:val="0"/>
        <w:autoSpaceDN w:val="0"/>
        <w:adjustRightInd w:val="0"/>
        <w:spacing w:after="200" w:line="276" w:lineRule="auto"/>
        <w:ind w:right="545"/>
        <w:jc w:val="both"/>
        <w:rPr>
          <w:rFonts w:ascii="Century Gothic" w:eastAsia="Calibri" w:hAnsi="Century Gothic"/>
          <w:sz w:val="20"/>
          <w:szCs w:val="22"/>
        </w:rPr>
      </w:pPr>
    </w:p>
    <w:p w14:paraId="5AC98C37" w14:textId="77777777" w:rsidR="00D10DB6" w:rsidRDefault="00D10DB6" w:rsidP="00D10DB6">
      <w:pPr>
        <w:widowControl w:val="0"/>
        <w:autoSpaceDE w:val="0"/>
        <w:autoSpaceDN w:val="0"/>
        <w:adjustRightInd w:val="0"/>
        <w:spacing w:after="200" w:line="276" w:lineRule="auto"/>
        <w:ind w:right="545"/>
        <w:jc w:val="both"/>
        <w:rPr>
          <w:rFonts w:ascii="Century Gothic" w:eastAsia="Calibri" w:hAnsi="Century Gothic"/>
          <w:sz w:val="20"/>
          <w:szCs w:val="22"/>
        </w:rPr>
      </w:pPr>
    </w:p>
    <w:p w14:paraId="0114F805" w14:textId="77777777" w:rsidR="00D10DB6" w:rsidRDefault="00D10DB6" w:rsidP="00D10DB6">
      <w:pPr>
        <w:widowControl w:val="0"/>
        <w:autoSpaceDE w:val="0"/>
        <w:autoSpaceDN w:val="0"/>
        <w:adjustRightInd w:val="0"/>
        <w:spacing w:after="200" w:line="276" w:lineRule="auto"/>
        <w:ind w:right="545"/>
        <w:jc w:val="both"/>
        <w:rPr>
          <w:rFonts w:ascii="Century Gothic" w:eastAsia="Calibri" w:hAnsi="Century Gothic"/>
          <w:sz w:val="20"/>
          <w:szCs w:val="22"/>
        </w:rPr>
      </w:pPr>
    </w:p>
    <w:p w14:paraId="1C7B89B9" w14:textId="77777777" w:rsidR="00D10DB6" w:rsidRDefault="00D10DB6" w:rsidP="00D10DB6">
      <w:pPr>
        <w:pStyle w:val="Heading2"/>
      </w:pPr>
      <w:bookmarkStart w:id="0" w:name="_Hlk484433727"/>
      <w:r>
        <w:lastRenderedPageBreak/>
        <w:t>Gestion des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D10DB6" w:rsidRPr="003F43E3" w14:paraId="78B133EA" w14:textId="77777777" w:rsidTr="00A30382">
        <w:tc>
          <w:tcPr>
            <w:tcW w:w="3261" w:type="dxa"/>
            <w:vAlign w:val="center"/>
          </w:tcPr>
          <w:p w14:paraId="4A5F30A2" w14:textId="77777777" w:rsidR="00D10DB6" w:rsidRPr="003F43E3" w:rsidRDefault="00D10DB6" w:rsidP="00A30382">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Titre</w:t>
            </w:r>
          </w:p>
        </w:tc>
        <w:tc>
          <w:tcPr>
            <w:tcW w:w="5811" w:type="dxa"/>
            <w:vAlign w:val="center"/>
          </w:tcPr>
          <w:p w14:paraId="40D9A58F" w14:textId="274AF380" w:rsidR="00D10DB6" w:rsidRPr="00EA3A02" w:rsidRDefault="00C77E9F" w:rsidP="00D10DB6">
            <w:pPr>
              <w:ind w:right="545"/>
              <w:rPr>
                <w:rFonts w:ascii="Century Gothic" w:eastAsiaTheme="minorEastAsia" w:hAnsi="Century Gothic" w:cstheme="minorBidi"/>
                <w:sz w:val="20"/>
                <w:szCs w:val="20"/>
              </w:rPr>
            </w:pPr>
            <w:r>
              <w:rPr>
                <w:rFonts w:ascii="Century Gothic" w:eastAsiaTheme="minorEastAsia" w:hAnsi="Century Gothic" w:cstheme="minorBidi"/>
                <w:sz w:val="20"/>
              </w:rPr>
              <w:t>Mise à jour de la WS2 du CCWG-Responsabilité</w:t>
            </w:r>
          </w:p>
        </w:tc>
      </w:tr>
      <w:tr w:rsidR="00D10DB6" w:rsidRPr="003F43E3" w14:paraId="3293C14D" w14:textId="77777777" w:rsidTr="00A30382">
        <w:tc>
          <w:tcPr>
            <w:tcW w:w="3261" w:type="dxa"/>
            <w:vAlign w:val="center"/>
          </w:tcPr>
          <w:p w14:paraId="248CAC85" w14:textId="77777777" w:rsidR="00D10DB6" w:rsidRPr="003F43E3" w:rsidRDefault="00D10DB6" w:rsidP="00A30382">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Distribution</w:t>
            </w:r>
          </w:p>
        </w:tc>
        <w:tc>
          <w:tcPr>
            <w:tcW w:w="5811" w:type="dxa"/>
            <w:vAlign w:val="center"/>
          </w:tcPr>
          <w:p w14:paraId="43C3334C" w14:textId="77777777" w:rsidR="00D10DB6" w:rsidRPr="003F43E3" w:rsidRDefault="00D10DB6" w:rsidP="00A30382">
            <w:pPr>
              <w:ind w:right="545"/>
              <w:rPr>
                <w:rFonts w:ascii="Century Gothic" w:eastAsiaTheme="minorEastAsia" w:hAnsi="Century Gothic" w:cstheme="minorBidi"/>
                <w:sz w:val="20"/>
                <w:szCs w:val="20"/>
              </w:rPr>
            </w:pPr>
            <w:r>
              <w:rPr>
                <w:rFonts w:ascii="Century Gothic" w:eastAsiaTheme="minorEastAsia" w:hAnsi="Century Gothic" w:cstheme="minorBidi"/>
                <w:sz w:val="20"/>
              </w:rPr>
              <w:t>Membres du GAC</w:t>
            </w:r>
          </w:p>
        </w:tc>
      </w:tr>
      <w:tr w:rsidR="00D10DB6" w:rsidRPr="003F43E3" w14:paraId="08CDC155" w14:textId="77777777" w:rsidTr="00A30382">
        <w:tc>
          <w:tcPr>
            <w:tcW w:w="3261" w:type="dxa"/>
            <w:vAlign w:val="center"/>
          </w:tcPr>
          <w:p w14:paraId="696B86E1" w14:textId="77777777" w:rsidR="00D10DB6" w:rsidRPr="003F43E3" w:rsidRDefault="00D10DB6" w:rsidP="00A30382">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Date de distribution</w:t>
            </w:r>
          </w:p>
        </w:tc>
        <w:tc>
          <w:tcPr>
            <w:tcW w:w="5811" w:type="dxa"/>
            <w:vAlign w:val="center"/>
          </w:tcPr>
          <w:p w14:paraId="699E24BA" w14:textId="77777777" w:rsidR="00D10DB6" w:rsidRDefault="00D662AE" w:rsidP="00A30382">
            <w:pPr>
              <w:ind w:right="545"/>
              <w:rPr>
                <w:rFonts w:ascii="Century Gothic" w:eastAsiaTheme="minorEastAsia" w:hAnsi="Century Gothic" w:cstheme="minorBidi"/>
                <w:sz w:val="20"/>
                <w:szCs w:val="20"/>
              </w:rPr>
            </w:pPr>
            <w:r>
              <w:rPr>
                <w:rFonts w:ascii="Century Gothic" w:eastAsiaTheme="minorEastAsia" w:hAnsi="Century Gothic" w:cstheme="minorBidi"/>
                <w:sz w:val="20"/>
              </w:rPr>
              <w:t>Version 1.0 : 7 juin 2018</w:t>
            </w:r>
          </w:p>
          <w:p w14:paraId="5D2252C2" w14:textId="000B30BE" w:rsidR="00D662AE" w:rsidRPr="003F43E3" w:rsidRDefault="00D662AE" w:rsidP="00A30382">
            <w:pPr>
              <w:ind w:right="545"/>
              <w:rPr>
                <w:rFonts w:ascii="Century Gothic" w:eastAsiaTheme="minorEastAsia" w:hAnsi="Century Gothic" w:cstheme="minorBidi"/>
                <w:sz w:val="20"/>
                <w:szCs w:val="20"/>
              </w:rPr>
            </w:pPr>
            <w:r>
              <w:rPr>
                <w:rFonts w:ascii="Century Gothic" w:eastAsiaTheme="minorEastAsia" w:hAnsi="Century Gothic" w:cstheme="minorBidi"/>
                <w:sz w:val="20"/>
              </w:rPr>
              <w:t>Version 1.1 : 14 juin 2018</w:t>
            </w:r>
          </w:p>
        </w:tc>
      </w:tr>
      <w:bookmarkEnd w:id="0"/>
    </w:tbl>
    <w:p w14:paraId="5CB2C162" w14:textId="77777777" w:rsidR="00D10DB6" w:rsidRDefault="00D10DB6" w:rsidP="00AA6D42">
      <w:pPr>
        <w:pStyle w:val="BodyText"/>
        <w:ind w:right="545"/>
      </w:pPr>
    </w:p>
    <w:p w14:paraId="1A24273E" w14:textId="77777777" w:rsidR="00EA3A02" w:rsidRDefault="00EA3A02" w:rsidP="00AA6D42">
      <w:pPr>
        <w:pStyle w:val="BodyText"/>
        <w:ind w:right="545"/>
      </w:pPr>
      <w:bookmarkStart w:id="1" w:name="_GoBack"/>
      <w:bookmarkEnd w:id="1"/>
    </w:p>
    <w:sectPr w:rsidR="00EA3A02" w:rsidSect="007A174E">
      <w:headerReference w:type="default" r:id="rId17"/>
      <w:footerReference w:type="default" r:id="rId18"/>
      <w:headerReference w:type="first" r:id="rId19"/>
      <w:footerReference w:type="first" r:id="rId20"/>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ECF1A" w14:textId="77777777" w:rsidR="003A47C5" w:rsidRDefault="003A47C5" w:rsidP="00A24449">
      <w:r>
        <w:separator/>
      </w:r>
    </w:p>
  </w:endnote>
  <w:endnote w:type="continuationSeparator" w:id="0">
    <w:p w14:paraId="77A28F1B" w14:textId="77777777" w:rsidR="003A47C5" w:rsidRDefault="003A47C5"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EB9D" w14:textId="77777777" w:rsidR="00265E52" w:rsidRDefault="00265E52" w:rsidP="002276FD">
    <w:pPr>
      <w:pStyle w:val="Footer"/>
      <w:ind w:left="-567" w:right="261"/>
    </w:pPr>
  </w:p>
  <w:p w14:paraId="22C9A9EC" w14:textId="3D562CC9" w:rsidR="00265E52" w:rsidRPr="00B026C8" w:rsidRDefault="00265E52" w:rsidP="00AA6D42">
    <w:pPr>
      <w:pBdr>
        <w:top w:val="single" w:sz="18" w:space="1" w:color="1F497D"/>
      </w:pBdr>
      <w:spacing w:before="240"/>
      <w:ind w:right="545"/>
      <w:rPr>
        <w:rFonts w:ascii="Century Gothic" w:hAnsi="Century Gothic"/>
        <w:color w:val="00408E"/>
      </w:rPr>
    </w:pPr>
    <w:r>
      <w:tab/>
    </w:r>
    <w:r>
      <w:tab/>
    </w:r>
    <w:r>
      <w:tab/>
    </w:r>
    <w:r>
      <w:tab/>
    </w:r>
    <w:r>
      <w:tab/>
    </w:r>
    <w:r w:rsidR="00F73BD6">
      <w:rPr>
        <w:sz w:val="16"/>
      </w:rPr>
      <w:t xml:space="preserve">                                     </w:t>
    </w:r>
    <w:r>
      <w:tab/>
    </w:r>
    <w:r>
      <w:tab/>
    </w:r>
    <w:r>
      <w:tab/>
    </w:r>
    <w:r w:rsidR="00462F3B">
      <w:tab/>
    </w:r>
    <w:r w:rsidR="00462F3B">
      <w:tab/>
    </w:r>
    <w:r>
      <w:rPr>
        <w:rFonts w:ascii="Century Gothic" w:hAnsi="Century Gothic"/>
        <w:color w:val="00408E"/>
        <w:sz w:val="16"/>
      </w:rPr>
      <w:t xml:space="preserve">Page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PAGE </w:instrText>
    </w:r>
    <w:r w:rsidRPr="00B026C8">
      <w:rPr>
        <w:rFonts w:ascii="Century Gothic" w:hAnsi="Century Gothic"/>
        <w:color w:val="00408E"/>
        <w:sz w:val="16"/>
        <w:szCs w:val="16"/>
      </w:rPr>
      <w:fldChar w:fldCharType="separate"/>
    </w:r>
    <w:r w:rsidR="00F73BD6">
      <w:rPr>
        <w:rFonts w:ascii="Century Gothic" w:hAnsi="Century Gothic"/>
        <w:noProof/>
        <w:color w:val="00408E"/>
        <w:sz w:val="16"/>
        <w:szCs w:val="16"/>
      </w:rPr>
      <w:t>5</w:t>
    </w:r>
    <w:r w:rsidRPr="00B026C8">
      <w:rPr>
        <w:rFonts w:ascii="Century Gothic" w:hAnsi="Century Gothic"/>
        <w:color w:val="00408E"/>
        <w:sz w:val="16"/>
        <w:szCs w:val="16"/>
      </w:rPr>
      <w:fldChar w:fldCharType="end"/>
    </w:r>
    <w:r>
      <w:rPr>
        <w:rFonts w:ascii="Century Gothic" w:hAnsi="Century Gothic"/>
        <w:color w:val="00408E"/>
        <w:sz w:val="16"/>
      </w:rPr>
      <w:t xml:space="preserve"> sur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NUMPAGES  </w:instrText>
    </w:r>
    <w:r w:rsidRPr="00B026C8">
      <w:rPr>
        <w:rFonts w:ascii="Century Gothic" w:hAnsi="Century Gothic"/>
        <w:color w:val="00408E"/>
        <w:sz w:val="16"/>
        <w:szCs w:val="16"/>
      </w:rPr>
      <w:fldChar w:fldCharType="separate"/>
    </w:r>
    <w:r w:rsidR="00F73BD6">
      <w:rPr>
        <w:rFonts w:ascii="Century Gothic" w:hAnsi="Century Gothic"/>
        <w:noProof/>
        <w:color w:val="00408E"/>
        <w:sz w:val="16"/>
        <w:szCs w:val="16"/>
      </w:rPr>
      <w:t>5</w:t>
    </w:r>
    <w:r w:rsidRPr="00B026C8">
      <w:rPr>
        <w:rFonts w:ascii="Century Gothic" w:hAnsi="Century Gothic"/>
        <w:color w:val="00408E"/>
        <w:sz w:val="16"/>
        <w:szCs w:val="16"/>
      </w:rPr>
      <w:fldChar w:fldCharType="end"/>
    </w:r>
  </w:p>
  <w:p w14:paraId="2D888BF1" w14:textId="77777777" w:rsidR="00265E52" w:rsidRPr="000C0FD7" w:rsidRDefault="00265E52"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83CC" w14:textId="77777777" w:rsidR="00265E52" w:rsidRPr="00C2562C" w:rsidRDefault="00265E52" w:rsidP="00740F60">
    <w:pPr>
      <w:pBdr>
        <w:top w:val="single" w:sz="18" w:space="1" w:color="1F497D"/>
      </w:pBdr>
      <w:spacing w:before="240"/>
      <w:ind w:right="544"/>
      <w:rPr>
        <w:color w:val="00408E"/>
        <w:sz w:val="2"/>
        <w:szCs w:val="2"/>
      </w:rPr>
    </w:pPr>
  </w:p>
  <w:p w14:paraId="4E0CE35E" w14:textId="77777777" w:rsidR="00265E52" w:rsidRPr="00F73BD6" w:rsidRDefault="00265E52" w:rsidP="00740F60">
    <w:pPr>
      <w:pStyle w:val="NoSpacing"/>
      <w:ind w:right="544"/>
      <w:jc w:val="right"/>
      <w:rPr>
        <w:sz w:val="16"/>
        <w:szCs w:val="16"/>
        <w:lang w:val="en-US"/>
      </w:rPr>
    </w:pPr>
    <w:r w:rsidRPr="00F73BD6">
      <w:rPr>
        <w:sz w:val="16"/>
        <w:lang w:val="en-US"/>
      </w:rPr>
      <w:t xml:space="preserve">203 Drummond Street, Carlton VIC 3053 </w:t>
    </w:r>
  </w:p>
  <w:p w14:paraId="5F7B5C75" w14:textId="77777777" w:rsidR="00265E52" w:rsidRPr="00F73BD6" w:rsidRDefault="00265E52" w:rsidP="00740F60">
    <w:pPr>
      <w:pStyle w:val="NoSpacing"/>
      <w:ind w:right="544"/>
      <w:jc w:val="right"/>
      <w:rPr>
        <w:sz w:val="16"/>
        <w:szCs w:val="16"/>
        <w:lang w:val="en-US"/>
      </w:rPr>
    </w:pPr>
    <w:r w:rsidRPr="00F73BD6">
      <w:rPr>
        <w:sz w:val="16"/>
        <w:lang w:val="en-US"/>
      </w:rPr>
      <w:t>03 9650 7222</w:t>
    </w:r>
  </w:p>
  <w:p w14:paraId="1A96EBCB" w14:textId="77777777" w:rsidR="00265E52" w:rsidRPr="00F73BD6" w:rsidRDefault="00265E52" w:rsidP="00740F60">
    <w:pPr>
      <w:pStyle w:val="NoSpacing"/>
      <w:ind w:right="544"/>
      <w:jc w:val="right"/>
      <w:rPr>
        <w:sz w:val="16"/>
        <w:szCs w:val="16"/>
        <w:lang w:val="en-US"/>
      </w:rPr>
    </w:pPr>
    <w:r w:rsidRPr="00F73BD6">
      <w:rPr>
        <w:sz w:val="16"/>
        <w:lang w:val="en-US"/>
      </w:rPr>
      <w:t xml:space="preserve">www.acig.com.au </w:t>
    </w:r>
  </w:p>
  <w:p w14:paraId="2AE084D1" w14:textId="77777777" w:rsidR="00265E52" w:rsidRPr="00F73BD6" w:rsidRDefault="00265E52" w:rsidP="003D7A8D">
    <w:pPr>
      <w:pStyle w:val="Footer"/>
      <w:jc w:val="center"/>
      <w:rPr>
        <w:color w:val="00408E"/>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D1DBD" w14:textId="77777777" w:rsidR="003A47C5" w:rsidRDefault="003A47C5" w:rsidP="00A24449">
      <w:r>
        <w:separator/>
      </w:r>
    </w:p>
  </w:footnote>
  <w:footnote w:type="continuationSeparator" w:id="0">
    <w:p w14:paraId="5972394C" w14:textId="77777777" w:rsidR="003A47C5" w:rsidRDefault="003A47C5" w:rsidP="00A24449">
      <w:r>
        <w:continuationSeparator/>
      </w:r>
    </w:p>
  </w:footnote>
  <w:footnote w:id="1">
    <w:p w14:paraId="435DD598" w14:textId="6DED8930" w:rsidR="006B7BEC" w:rsidRPr="006B7BEC" w:rsidRDefault="006B7BEC">
      <w:pPr>
        <w:pStyle w:val="FootnoteText"/>
        <w:rPr>
          <w:rFonts w:ascii="Century Gothic" w:hAnsi="Century Gothic"/>
          <w:sz w:val="18"/>
          <w:szCs w:val="18"/>
        </w:rPr>
      </w:pPr>
      <w:r>
        <w:rPr>
          <w:rStyle w:val="FootnoteReference"/>
          <w:rFonts w:ascii="Century Gothic" w:hAnsi="Century Gothic"/>
          <w:sz w:val="18"/>
        </w:rPr>
        <w:footnoteRef/>
      </w:r>
      <w:r>
        <w:rPr>
          <w:rFonts w:ascii="Century Gothic" w:hAnsi="Century Gothic"/>
          <w:sz w:val="18"/>
        </w:rPr>
        <w:t xml:space="preserve"> France : </w:t>
      </w:r>
      <w:hyperlink r:id="rId1">
        <w:r>
          <w:rPr>
            <w:rStyle w:val="Hyperlink"/>
            <w:rFonts w:ascii="Century Gothic" w:hAnsi="Century Gothic"/>
            <w:sz w:val="18"/>
          </w:rPr>
          <w:t>Présentation à la consultation publique concernant la diversité</w:t>
        </w:r>
      </w:hyperlink>
    </w:p>
  </w:footnote>
  <w:footnote w:id="2">
    <w:p w14:paraId="0C000A08" w14:textId="3DE6B0F1" w:rsidR="00927979" w:rsidRPr="00E15156" w:rsidRDefault="00927979">
      <w:pPr>
        <w:pStyle w:val="FootnoteText"/>
        <w:rPr>
          <w:rFonts w:ascii="Century Gothic" w:hAnsi="Century Gothic"/>
          <w:sz w:val="18"/>
          <w:szCs w:val="18"/>
        </w:rPr>
      </w:pPr>
      <w:r>
        <w:rPr>
          <w:rStyle w:val="FootnoteReference"/>
          <w:rFonts w:ascii="Century Gothic" w:hAnsi="Century Gothic"/>
          <w:sz w:val="18"/>
        </w:rPr>
        <w:footnoteRef/>
      </w:r>
      <w:r>
        <w:rPr>
          <w:rFonts w:ascii="Century Gothic" w:hAnsi="Century Gothic"/>
          <w:sz w:val="18"/>
        </w:rPr>
        <w:t xml:space="preserve"> France : </w:t>
      </w:r>
      <w:hyperlink r:id="rId2">
        <w:r>
          <w:rPr>
            <w:rStyle w:val="Hyperlink"/>
            <w:rFonts w:ascii="Century Gothic" w:hAnsi="Century Gothic"/>
            <w:sz w:val="18"/>
          </w:rPr>
          <w:t>Présentation à la consultation publique concernant la compétence</w:t>
        </w:r>
      </w:hyperlink>
      <w:r>
        <w:rPr>
          <w:rFonts w:ascii="Century Gothic" w:hAnsi="Century Gothic"/>
          <w:sz w:val="18"/>
        </w:rPr>
        <w:t xml:space="preserve"> </w:t>
      </w:r>
    </w:p>
  </w:footnote>
  <w:footnote w:id="3">
    <w:p w14:paraId="407CF1D4" w14:textId="4E368156" w:rsidR="00E15156" w:rsidRDefault="00E15156">
      <w:pPr>
        <w:pStyle w:val="FootnoteText"/>
      </w:pPr>
      <w:r>
        <w:rPr>
          <w:rStyle w:val="FootnoteReference"/>
          <w:rFonts w:ascii="Century Gothic" w:hAnsi="Century Gothic"/>
          <w:sz w:val="18"/>
        </w:rPr>
        <w:footnoteRef/>
      </w:r>
      <w:r>
        <w:rPr>
          <w:rFonts w:ascii="Century Gothic" w:hAnsi="Century Gothic"/>
          <w:sz w:val="18"/>
        </w:rPr>
        <w:t xml:space="preserve"> Brésil : Avis au secrétariat préalable à la réunion et membres du CCWG nommés par le GAC</w:t>
      </w:r>
    </w:p>
  </w:footnote>
  <w:footnote w:id="4">
    <w:p w14:paraId="06F8B80B" w14:textId="695515AA" w:rsidR="007F0696" w:rsidRPr="007F0696" w:rsidRDefault="007F0696">
      <w:pPr>
        <w:pStyle w:val="FootnoteText"/>
        <w:rPr>
          <w:rFonts w:ascii="Century Gothic" w:hAnsi="Century Gothic"/>
          <w:sz w:val="18"/>
          <w:szCs w:val="18"/>
        </w:rPr>
      </w:pPr>
      <w:r>
        <w:rPr>
          <w:rStyle w:val="FootnoteReference"/>
          <w:rFonts w:ascii="Century Gothic" w:hAnsi="Century Gothic"/>
          <w:sz w:val="18"/>
        </w:rPr>
        <w:footnoteRef/>
      </w:r>
      <w:r>
        <w:rPr>
          <w:rFonts w:ascii="Century Gothic" w:hAnsi="Century Gothic"/>
          <w:sz w:val="18"/>
        </w:rPr>
        <w:t xml:space="preserve"> </w:t>
      </w:r>
      <w:hyperlink r:id="rId3">
        <w:r>
          <w:rPr>
            <w:rStyle w:val="Hyperlink"/>
            <w:rFonts w:ascii="Century Gothic" w:hAnsi="Century Gothic"/>
            <w:sz w:val="18"/>
          </w:rPr>
          <w:t>Communiqué du GAC de Marrakech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C198" w14:textId="68827F07" w:rsidR="00265E52" w:rsidRDefault="00462F3B" w:rsidP="00B53525">
    <w:pPr>
      <w:pStyle w:val="Header"/>
      <w:tabs>
        <w:tab w:val="clear" w:pos="4680"/>
        <w:tab w:val="clear" w:pos="9360"/>
      </w:tabs>
      <w:ind w:right="-306"/>
    </w:pPr>
    <w:r>
      <w:rPr>
        <w:noProof/>
        <w:lang w:bidi="ar-SA"/>
      </w:rPr>
      <w:drawing>
        <wp:anchor distT="0" distB="0" distL="114300" distR="114300" simplePos="0" relativeHeight="251665408" behindDoc="0" locked="0" layoutInCell="1" allowOverlap="1" wp14:anchorId="4AB204E9" wp14:editId="17E81CD1">
          <wp:simplePos x="0" y="0"/>
          <wp:positionH relativeFrom="column">
            <wp:posOffset>5324940</wp:posOffset>
          </wp:positionH>
          <wp:positionV relativeFrom="paragraph">
            <wp:posOffset>12922</wp:posOffset>
          </wp:positionV>
          <wp:extent cx="456001" cy="276896"/>
          <wp:effectExtent l="0" t="0" r="1270" b="8890"/>
          <wp:wrapNone/>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56001" cy="276896"/>
                  </a:xfrm>
                  <a:prstGeom prst="rect">
                    <a:avLst/>
                  </a:prstGeom>
                  <a:noFill/>
                  <a:ln w="9525">
                    <a:noFill/>
                    <a:miter lim="800000"/>
                    <a:headEnd/>
                    <a:tailEnd/>
                  </a:ln>
                </pic:spPr>
              </pic:pic>
            </a:graphicData>
          </a:graphic>
          <wp14:sizeRelV relativeFrom="margin">
            <wp14:pctHeight>0</wp14:pctHeight>
          </wp14:sizeRelV>
        </wp:anchor>
      </w:drawing>
    </w:r>
    <w:r w:rsidR="00265E52">
      <w:rPr>
        <w:noProof/>
        <w:lang w:bidi="ar-SA"/>
      </w:rPr>
      <mc:AlternateContent>
        <mc:Choice Requires="wps">
          <w:drawing>
            <wp:anchor distT="0" distB="0" distL="114300" distR="114300" simplePos="0" relativeHeight="251664384" behindDoc="1" locked="0" layoutInCell="1" allowOverlap="1" wp14:anchorId="6662CC8F" wp14:editId="76770840">
              <wp:simplePos x="0" y="0"/>
              <wp:positionH relativeFrom="column">
                <wp:posOffset>4326791</wp:posOffset>
              </wp:positionH>
              <wp:positionV relativeFrom="paragraph">
                <wp:posOffset>292144</wp:posOffset>
              </wp:positionV>
              <wp:extent cx="1585183" cy="328411"/>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183" cy="328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23E30" w14:textId="77777777" w:rsidR="00265E52" w:rsidRPr="0091773C" w:rsidRDefault="00265E52" w:rsidP="00B53525">
                          <w:pPr>
                            <w:ind w:left="-142"/>
                            <w:rPr>
                              <w:rFonts w:ascii="Arial Narrow" w:hAnsi="Arial Narrow"/>
                              <w:color w:val="C45911"/>
                              <w:sz w:val="32"/>
                              <w:szCs w:val="32"/>
                            </w:rPr>
                          </w:pPr>
                          <w:r>
                            <w:rPr>
                              <w:rFonts w:ascii="Arial Narrow" w:hAnsi="Arial Narrow"/>
                              <w:color w:val="C45911"/>
                              <w:sz w:val="32"/>
                            </w:rPr>
                            <w:t>Secrétariat du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2CC8F" id="_x0000_t202" coordsize="21600,21600" o:spt="202" path="m,l,21600r21600,l21600,xe">
              <v:stroke joinstyle="miter"/>
              <v:path gradientshapeok="t" o:connecttype="rect"/>
            </v:shapetype>
            <v:shape id="Text Box 3" o:spid="_x0000_s1026" type="#_x0000_t202" style="position:absolute;left:0;text-align:left;margin-left:340.7pt;margin-top:23pt;width:124.8pt;height:2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7gggIAAA8FAAAOAAAAZHJzL2Uyb0RvYy54bWysVNtu3CAQfa/Uf0C8b3yJN7GteKNculWl&#10;9CIl/QAW8BoVAwV27TTqv3fAu5tt2kpVVT9gLsOZMzNnuLgce4m23DqhVYOzkxQjrqhmQq0b/Plh&#10;OSsxcp4oRqRWvMGP3OHLxetXF4Opea47LRm3CECUqwfT4M57UyeJox3viTvRhis4bLXtiYelXSfM&#10;kgHQe5nkaXqWDNoyYzXlzsHu7XSIFxG/bTn1H9vWcY9kg4Gbj6ON4yqMyeKC1GtLTCfojgb5BxY9&#10;EQqcHqBuiSdoY8UvUL2gVjvd+hOq+0S3raA8xgDRZOmLaO47YniMBZLjzCFN7v/B0g/bTxYJ1uBT&#10;jBTpoUQPfPToWo/oNGRnMK4Go3sDZn6EbahyjNSZO02/OKT0TUfUml9Zq4eOEwbssnAzObo64bgA&#10;shreawZuyMbrCDS2tg+pg2QgQIcqPR4qE6jQ4HJezrMSKFI4O83LIptckHp/21jn33LdozBpsIXK&#10;R3SyvXM+sCH13iQ4c1oKthRSxoVdr26kRVsCKlnGLwbwwkyqYKx0uDYhTjtAEnyEs0A3Vv2pyvIi&#10;vc6r2fKsPJ8Vy2I+q87TcpZm1XV1lhZVcbv8HghmRd0Jxri6E4rvFZgVf1fhXS9M2okaREODq3k+&#10;n0r0xyDT+P0uyF54aEgp+gaXByNSh8K+UQzCJrUnQk7z5Gf6McuQg/0/ZiXKIFR+0oAfVyOgBG2s&#10;NHsEQVgN9YKqwysCk07bbxgN0JENdl83xHKM5DsFoqqyoggtHBfF/DyHhT0+WR2fEEUBqsEeo2l6&#10;46e23xgr1h14mmSs9BUIsRVRI8+sdvKFrovB7F6I0NbH62j1/I4tfgAAAP//AwBQSwMEFAAGAAgA&#10;AAAhAFBXZGjdAAAACQEAAA8AAABkcnMvZG93bnJldi54bWxMj0FPg0AQhe8m/ofNmHgxdkERWmRp&#10;1ETjtbU/YIApENlZwm4L/feOJ729l/ny5r1iu9hBnWnyvWMD8SoCRVy7pufWwOHr/X4NygfkBgfH&#10;ZOBCHrbl9VWBeeNm3tF5H1olIexzNNCFMOZa+7oji37lRmK5Hd1kMYidWt1MOEu4HfRDFKXaYs/y&#10;ocOR3jqqv/cna+D4Od89bebqIxyyXZK+Yp9V7mLM7c3y8gwq0BL+YPitL9WhlE6VO3Hj1WAgXceJ&#10;oAaSVDYJsHmMRVQisgx0Wej/C8ofAAAA//8DAFBLAQItABQABgAIAAAAIQC2gziS/gAAAOEBAAAT&#10;AAAAAAAAAAAAAAAAAAAAAABbQ29udGVudF9UeXBlc10ueG1sUEsBAi0AFAAGAAgAAAAhADj9If/W&#10;AAAAlAEAAAsAAAAAAAAAAAAAAAAALwEAAF9yZWxzLy5yZWxzUEsBAi0AFAAGAAgAAAAhAEp4buCC&#10;AgAADwUAAA4AAAAAAAAAAAAAAAAALgIAAGRycy9lMm9Eb2MueG1sUEsBAi0AFAAGAAgAAAAhAFBX&#10;ZGjdAAAACQEAAA8AAAAAAAAAAAAAAAAA3AQAAGRycy9kb3ducmV2LnhtbFBLBQYAAAAABAAEAPMA&#10;AADmBQAAAAA=&#10;" stroked="f">
              <v:textbox>
                <w:txbxContent>
                  <w:p w14:paraId="60A23E30" w14:textId="77777777" w:rsidR="00265E52" w:rsidRPr="0091773C" w:rsidRDefault="00265E52" w:rsidP="00B53525">
                    <w:pPr>
                      <w:ind w:left="-142"/>
                      <w:rPr>
                        <w:rFonts w:ascii="Arial Narrow" w:hAnsi="Arial Narrow"/>
                        <w:color w:val="C45911"/>
                        <w:sz w:val="32"/>
                        <w:szCs w:val="32"/>
                      </w:rPr>
                    </w:pPr>
                    <w:r>
                      <w:rPr>
                        <w:rFonts w:ascii="Arial Narrow" w:hAnsi="Arial Narrow"/>
                        <w:color w:val="C45911"/>
                        <w:sz w:val="32"/>
                      </w:rPr>
                      <w:t>Secrétariat du GAC</w:t>
                    </w:r>
                  </w:p>
                </w:txbxContent>
              </v:textbox>
            </v:shape>
          </w:pict>
        </mc:Fallback>
      </mc:AlternateContent>
    </w:r>
    <w:r w:rsidR="00265E52">
      <w:tab/>
    </w:r>
    <w:r w:rsidR="00265E52">
      <w:tab/>
    </w:r>
    <w:r w:rsidR="00265E52">
      <w:tab/>
    </w:r>
    <w:r w:rsidR="00265E52">
      <w:tab/>
    </w:r>
    <w:r w:rsidR="00265E52">
      <w:tab/>
    </w:r>
    <w:r w:rsidR="00265E52">
      <w:tab/>
    </w:r>
    <w:r w:rsidR="00265E52">
      <w:tab/>
    </w:r>
    <w:r w:rsidR="00F73BD6">
      <w:t xml:space="preserve">                     </w:t>
    </w:r>
    <w:r w:rsidR="00265E52">
      <w:t xml:space="preserve"> </w:t>
    </w:r>
    <w:r w:rsidR="00265E52">
      <w:rPr>
        <w:noProof/>
        <w:lang w:bidi="ar-SA"/>
      </w:rPr>
      <mc:AlternateContent>
        <mc:Choice Requires="wps">
          <w:drawing>
            <wp:anchor distT="0" distB="0" distL="114300" distR="114300" simplePos="0" relativeHeight="251657216" behindDoc="1" locked="0" layoutInCell="1" allowOverlap="1" wp14:anchorId="261037EF" wp14:editId="573EA211">
              <wp:simplePos x="0" y="0"/>
              <wp:positionH relativeFrom="column">
                <wp:posOffset>4536440</wp:posOffset>
              </wp:positionH>
              <wp:positionV relativeFrom="paragraph">
                <wp:posOffset>222885</wp:posOffset>
              </wp:positionV>
              <wp:extent cx="1340485" cy="297815"/>
              <wp:effectExtent l="0" t="0" r="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815"/>
                      </a:xfrm>
                      <a:prstGeom prst="rect">
                        <a:avLst/>
                      </a:prstGeom>
                      <a:solidFill>
                        <a:srgbClr val="FFFFFF"/>
                      </a:solidFill>
                      <a:ln>
                        <a:noFill/>
                      </a:ln>
                      <a:extLst/>
                    </wps:spPr>
                    <wps:txbx>
                      <w:txbxContent>
                        <w:p w14:paraId="5342CE0B" w14:textId="77777777" w:rsidR="00265E52" w:rsidRPr="002276FD" w:rsidRDefault="00265E52" w:rsidP="00CD30A8">
                          <w:pPr>
                            <w:ind w:left="-142"/>
                            <w:rPr>
                              <w:rFonts w:ascii="Arial Narrow" w:hAnsi="Arial Narrow"/>
                              <w:color w:val="C45911" w:themeColor="accent2" w:themeShade="BF"/>
                              <w:sz w:val="32"/>
                              <w:szCs w:val="32"/>
                            </w:rPr>
                          </w:pPr>
                          <w:r>
                            <w:rPr>
                              <w:rFonts w:ascii="Arial Narrow" w:hAnsi="Arial Narrow"/>
                              <w:color w:val="C45911" w:themeColor="accent2" w:themeShade="BF"/>
                              <w:sz w:val="32"/>
                            </w:rPr>
                            <w:t>Secrétariat du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037EF" id="Text Box 4" o:spid="_x0000_s1027" type="#_x0000_t202" style="position:absolute;left:0;text-align:left;margin-left:357.2pt;margin-top:17.55pt;width:105.5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zdCwIAAAEEAAAOAAAAZHJzL2Uyb0RvYy54bWysU9tu2zAMfR+wfxD0vtjJnDU14hRdigwD&#10;ugvQ7gNkWbaF2aJGKbGzrx8lu1mwvQ3TgyCK1OHhIbW9G/uOnRQ6Dabgy0XKmTISKm2agn97PrzZ&#10;cOa8MJXowKiCn5Xjd7vXr7aDzdUKWugqhYxAjMsHW/DWe5sniZOt6oVbgFWGnDVgLzyZ2CQVioHQ&#10;+y5Zpem7ZACsLIJUztHtw+Tku4hf10r6L3XtlGddwYmbjzvGvQx7stuKvEFhWy1nGuIfWPRCG0p6&#10;gXoQXrAj6r+gei0RHNR+IaFPoK61VLEGqmaZ/lHNUyusirWQOM5eZHL/D1Z+Pn1FpivqHWdG9NSi&#10;ZzV69h5GlgV1ButyCnqyFOZHug6RoVJnH0F+d8zAvhWmUfeIMLRKVMRuGV4mV08nHBdAyuETVJRG&#10;HD1EoLHGPgCSGIzQqUvnS2cCFRlSvs3SbLPmTJJvdXuzWa5jCpG/vLbo/AcFPQuHgiN1PqKL06Pz&#10;gY3IX0Iie+h0ddBdFw1syn2H7CRoSg5xzejuOqwzIdhAeDYhTjdEcs4RKg5FTuX6sRxnaWchS6jO&#10;JAHCNIf0b+jQAv7kbKAZLLj7cRSoOOs+GpLxdpllYWijka1vVmTgtae89ggjCargnrPpuPfToB8t&#10;6qalTFPjDNyT9LWOqgTGE6u5YTRnUaz5T4RBvrZj1O+fu/sFAAD//wMAUEsDBBQABgAIAAAAIQBE&#10;Bx073gAAAAkBAAAPAAAAZHJzL2Rvd25yZXYueG1sTI/RToNAEEXfTfyHzZj4YuwCQmmRpVETja+t&#10;/YCBnQKRnSXsttC/d33Sx8k9ufdMuVvMIC40ud6ygngVgSBurO65VXD8en/cgHAeWeNgmRRcycGu&#10;ur0psdB25j1dDr4VoYRdgQo678dCStd0ZNCt7EgcspOdDPpwTq3UE86h3AwyiaK1NNhzWOhwpLeO&#10;mu/D2Sg4fc4P2XauP/wx36frV+zz2l6Vur9bXp5BeFr8Hwy/+kEdquBU2zNrJwYFeZymAVXwlMUg&#10;ArBNsgxErWCTRCCrUv7/oPoBAAD//wMAUEsBAi0AFAAGAAgAAAAhALaDOJL+AAAA4QEAABMAAAAA&#10;AAAAAAAAAAAAAAAAAFtDb250ZW50X1R5cGVzXS54bWxQSwECLQAUAAYACAAAACEAOP0h/9YAAACU&#10;AQAACwAAAAAAAAAAAAAAAAAvAQAAX3JlbHMvLnJlbHNQSwECLQAUAAYACAAAACEAvL1s3QsCAAAB&#10;BAAADgAAAAAAAAAAAAAAAAAuAgAAZHJzL2Uyb0RvYy54bWxQSwECLQAUAAYACAAAACEARAcdO94A&#10;AAAJAQAADwAAAAAAAAAAAAAAAABlBAAAZHJzL2Rvd25yZXYueG1sUEsFBgAAAAAEAAQA8wAAAHAF&#10;AAAAAA==&#10;" stroked="f">
              <v:textbox>
                <w:txbxContent>
                  <w:p w14:paraId="5342CE0B" w14:textId="77777777" w:rsidR="00265E52" w:rsidRPr="002276FD" w:rsidRDefault="00265E52" w:rsidP="00CD30A8">
                    <w:pPr>
                      <w:ind w:left="-142"/>
                      <w:rPr>
                        <w:rFonts w:ascii="Arial Narrow" w:hAnsi="Arial Narrow"/>
                        <w:color w:val="C45911" w:themeColor="accent2" w:themeShade="BF"/>
                        <w:sz w:val="32"/>
                        <w:szCs w:val="32"/>
                      </w:rPr>
                    </w:pPr>
                    <w:r>
                      <w:rPr>
                        <w:rFonts w:ascii="Arial Narrow" w:hAnsi="Arial Narrow"/>
                        <w:color w:val="C45911" w:themeColor="accent2" w:themeShade="BF"/>
                        <w:sz w:val="32"/>
                      </w:rPr>
                      <w:t>Secrétariat du GAC</w:t>
                    </w:r>
                  </w:p>
                </w:txbxContent>
              </v:textbox>
            </v:shape>
          </w:pict>
        </mc:Fallback>
      </mc:AlternateContent>
    </w:r>
    <w:r w:rsidR="00265E5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2F92" w14:textId="77777777" w:rsidR="00265E52" w:rsidRDefault="00265E52" w:rsidP="00C2562C">
    <w:pPr>
      <w:pStyle w:val="Header"/>
      <w:tabs>
        <w:tab w:val="clear" w:pos="9360"/>
      </w:tabs>
      <w:ind w:left="-851"/>
      <w:jc w:val="center"/>
    </w:pPr>
    <w:r>
      <w:rPr>
        <w:noProof/>
        <w:lang w:bidi="ar-SA"/>
      </w:rPr>
      <w:drawing>
        <wp:inline distT="0" distB="0" distL="0" distR="0" wp14:anchorId="18DC42A4" wp14:editId="54F54699">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1F2F7D65"/>
    <w:multiLevelType w:val="hybridMultilevel"/>
    <w:tmpl w:val="C910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43D24"/>
    <w:multiLevelType w:val="hybridMultilevel"/>
    <w:tmpl w:val="B82E60D0"/>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E14971"/>
    <w:multiLevelType w:val="hybridMultilevel"/>
    <w:tmpl w:val="58CA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65CDC"/>
    <w:multiLevelType w:val="hybridMultilevel"/>
    <w:tmpl w:val="6EBA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A3FD3"/>
    <w:multiLevelType w:val="hybridMultilevel"/>
    <w:tmpl w:val="A2088966"/>
    <w:lvl w:ilvl="0" w:tplc="0C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31011F"/>
    <w:multiLevelType w:val="multilevel"/>
    <w:tmpl w:val="6BB6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F70D48"/>
    <w:multiLevelType w:val="hybridMultilevel"/>
    <w:tmpl w:val="4EF6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1" w15:restartNumberingAfterBreak="0">
    <w:nsid w:val="61F4139C"/>
    <w:multiLevelType w:val="hybridMultilevel"/>
    <w:tmpl w:val="531E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F127E"/>
    <w:multiLevelType w:val="hybridMultilevel"/>
    <w:tmpl w:val="5DC817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FF598B"/>
    <w:multiLevelType w:val="hybridMultilevel"/>
    <w:tmpl w:val="F73A0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B208F4"/>
    <w:multiLevelType w:val="hybridMultilevel"/>
    <w:tmpl w:val="9EF4A0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CC7DE8"/>
    <w:multiLevelType w:val="hybridMultilevel"/>
    <w:tmpl w:val="8B326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422F5B"/>
    <w:multiLevelType w:val="hybridMultilevel"/>
    <w:tmpl w:val="07826F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437814"/>
    <w:multiLevelType w:val="hybridMultilevel"/>
    <w:tmpl w:val="E72E6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F9E28B0"/>
    <w:multiLevelType w:val="hybridMultilevel"/>
    <w:tmpl w:val="AADAE810"/>
    <w:lvl w:ilvl="0" w:tplc="7B98F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10"/>
  </w:num>
  <w:num w:numId="5">
    <w:abstractNumId w:val="6"/>
  </w:num>
  <w:num w:numId="6">
    <w:abstractNumId w:val="3"/>
  </w:num>
  <w:num w:numId="7">
    <w:abstractNumId w:val="18"/>
  </w:num>
  <w:num w:numId="8">
    <w:abstractNumId w:val="11"/>
  </w:num>
  <w:num w:numId="9">
    <w:abstractNumId w:val="16"/>
  </w:num>
  <w:num w:numId="10">
    <w:abstractNumId w:val="8"/>
  </w:num>
  <w:num w:numId="11">
    <w:abstractNumId w:val="7"/>
  </w:num>
  <w:num w:numId="12">
    <w:abstractNumId w:val="9"/>
  </w:num>
  <w:num w:numId="13">
    <w:abstractNumId w:val="17"/>
  </w:num>
  <w:num w:numId="14">
    <w:abstractNumId w:val="13"/>
  </w:num>
  <w:num w:numId="15">
    <w:abstractNumId w:val="15"/>
  </w:num>
  <w:num w:numId="16">
    <w:abstractNumId w:val="14"/>
  </w:num>
  <w:num w:numId="17">
    <w:abstractNumId w:val="12"/>
  </w:num>
  <w:num w:numId="18">
    <w:abstractNumId w:val="4"/>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3D6"/>
    <w:rsid w:val="00000949"/>
    <w:rsid w:val="000121B8"/>
    <w:rsid w:val="00017DDB"/>
    <w:rsid w:val="00023512"/>
    <w:rsid w:val="00023E59"/>
    <w:rsid w:val="0002714F"/>
    <w:rsid w:val="000328A2"/>
    <w:rsid w:val="0007760C"/>
    <w:rsid w:val="00083BC8"/>
    <w:rsid w:val="0008562A"/>
    <w:rsid w:val="00085A36"/>
    <w:rsid w:val="000964B7"/>
    <w:rsid w:val="000A1076"/>
    <w:rsid w:val="000B6365"/>
    <w:rsid w:val="000C0FD7"/>
    <w:rsid w:val="000C5167"/>
    <w:rsid w:val="000C6B2E"/>
    <w:rsid w:val="000C7897"/>
    <w:rsid w:val="000D1296"/>
    <w:rsid w:val="000F083F"/>
    <w:rsid w:val="000F5927"/>
    <w:rsid w:val="000F794C"/>
    <w:rsid w:val="00101754"/>
    <w:rsid w:val="00102247"/>
    <w:rsid w:val="00123E04"/>
    <w:rsid w:val="00124881"/>
    <w:rsid w:val="001373A0"/>
    <w:rsid w:val="00141874"/>
    <w:rsid w:val="00142EBB"/>
    <w:rsid w:val="00144B1B"/>
    <w:rsid w:val="00147E65"/>
    <w:rsid w:val="001577F4"/>
    <w:rsid w:val="0016195D"/>
    <w:rsid w:val="00181D77"/>
    <w:rsid w:val="00184A6B"/>
    <w:rsid w:val="001A5355"/>
    <w:rsid w:val="001A541E"/>
    <w:rsid w:val="001A6E2E"/>
    <w:rsid w:val="001B337F"/>
    <w:rsid w:val="001B35DE"/>
    <w:rsid w:val="001D0AB7"/>
    <w:rsid w:val="001D1DEB"/>
    <w:rsid w:val="001D64DD"/>
    <w:rsid w:val="001F797E"/>
    <w:rsid w:val="00203D87"/>
    <w:rsid w:val="002058E1"/>
    <w:rsid w:val="00207ED8"/>
    <w:rsid w:val="002110FA"/>
    <w:rsid w:val="0021772D"/>
    <w:rsid w:val="0022503D"/>
    <w:rsid w:val="002276FD"/>
    <w:rsid w:val="002342A7"/>
    <w:rsid w:val="002473AD"/>
    <w:rsid w:val="00250279"/>
    <w:rsid w:val="00265E52"/>
    <w:rsid w:val="00265F90"/>
    <w:rsid w:val="00273354"/>
    <w:rsid w:val="00276F47"/>
    <w:rsid w:val="00287DA6"/>
    <w:rsid w:val="00293161"/>
    <w:rsid w:val="00294D4F"/>
    <w:rsid w:val="002A182A"/>
    <w:rsid w:val="002A1E40"/>
    <w:rsid w:val="002B5CC4"/>
    <w:rsid w:val="002B7D69"/>
    <w:rsid w:val="002C3D50"/>
    <w:rsid w:val="002C7EFF"/>
    <w:rsid w:val="00304123"/>
    <w:rsid w:val="00306036"/>
    <w:rsid w:val="00311AA0"/>
    <w:rsid w:val="00327A1A"/>
    <w:rsid w:val="003308BB"/>
    <w:rsid w:val="003401B4"/>
    <w:rsid w:val="003426C6"/>
    <w:rsid w:val="003426EE"/>
    <w:rsid w:val="00352CA5"/>
    <w:rsid w:val="00352E3D"/>
    <w:rsid w:val="003643C4"/>
    <w:rsid w:val="003644DC"/>
    <w:rsid w:val="00367D10"/>
    <w:rsid w:val="00371356"/>
    <w:rsid w:val="00384915"/>
    <w:rsid w:val="00391D09"/>
    <w:rsid w:val="00392926"/>
    <w:rsid w:val="003951BB"/>
    <w:rsid w:val="003961C1"/>
    <w:rsid w:val="003A47C5"/>
    <w:rsid w:val="003B50A3"/>
    <w:rsid w:val="003D7A8D"/>
    <w:rsid w:val="003E03CB"/>
    <w:rsid w:val="003F0D47"/>
    <w:rsid w:val="003F1F29"/>
    <w:rsid w:val="003F4225"/>
    <w:rsid w:val="003F686E"/>
    <w:rsid w:val="00400344"/>
    <w:rsid w:val="0040195C"/>
    <w:rsid w:val="00406CEE"/>
    <w:rsid w:val="00412A64"/>
    <w:rsid w:val="00416093"/>
    <w:rsid w:val="0042169D"/>
    <w:rsid w:val="004256A5"/>
    <w:rsid w:val="004353D1"/>
    <w:rsid w:val="00440B47"/>
    <w:rsid w:val="00454CBD"/>
    <w:rsid w:val="0045612A"/>
    <w:rsid w:val="00460A7C"/>
    <w:rsid w:val="00462F3B"/>
    <w:rsid w:val="00463411"/>
    <w:rsid w:val="00466E60"/>
    <w:rsid w:val="00472AE4"/>
    <w:rsid w:val="00481C0C"/>
    <w:rsid w:val="00482610"/>
    <w:rsid w:val="004837E2"/>
    <w:rsid w:val="00483D9D"/>
    <w:rsid w:val="00492E56"/>
    <w:rsid w:val="0049600A"/>
    <w:rsid w:val="004A18F6"/>
    <w:rsid w:val="004A35BB"/>
    <w:rsid w:val="004A47B9"/>
    <w:rsid w:val="004A58B8"/>
    <w:rsid w:val="004A76DE"/>
    <w:rsid w:val="004B6776"/>
    <w:rsid w:val="004B6A85"/>
    <w:rsid w:val="004E22C7"/>
    <w:rsid w:val="004E2498"/>
    <w:rsid w:val="004E4B74"/>
    <w:rsid w:val="0051347B"/>
    <w:rsid w:val="00517E99"/>
    <w:rsid w:val="00532323"/>
    <w:rsid w:val="0054429B"/>
    <w:rsid w:val="005562E5"/>
    <w:rsid w:val="0055717A"/>
    <w:rsid w:val="005716B7"/>
    <w:rsid w:val="00573397"/>
    <w:rsid w:val="0057629A"/>
    <w:rsid w:val="0057629C"/>
    <w:rsid w:val="00577F86"/>
    <w:rsid w:val="00580A87"/>
    <w:rsid w:val="005A2B8D"/>
    <w:rsid w:val="005C09C7"/>
    <w:rsid w:val="005C163D"/>
    <w:rsid w:val="005C62A7"/>
    <w:rsid w:val="005D6F61"/>
    <w:rsid w:val="005E2917"/>
    <w:rsid w:val="005F2D09"/>
    <w:rsid w:val="0061016F"/>
    <w:rsid w:val="0061408A"/>
    <w:rsid w:val="0061550E"/>
    <w:rsid w:val="00624AEC"/>
    <w:rsid w:val="0063569C"/>
    <w:rsid w:val="00635F0B"/>
    <w:rsid w:val="00647BBA"/>
    <w:rsid w:val="00652018"/>
    <w:rsid w:val="00656C07"/>
    <w:rsid w:val="006735F6"/>
    <w:rsid w:val="00673F9B"/>
    <w:rsid w:val="006762B8"/>
    <w:rsid w:val="0067792E"/>
    <w:rsid w:val="00683C6C"/>
    <w:rsid w:val="00685BA3"/>
    <w:rsid w:val="00696FFE"/>
    <w:rsid w:val="006A3757"/>
    <w:rsid w:val="006B7BEC"/>
    <w:rsid w:val="006E28C6"/>
    <w:rsid w:val="006E5066"/>
    <w:rsid w:val="006E5C0F"/>
    <w:rsid w:val="006F1FB6"/>
    <w:rsid w:val="0070074A"/>
    <w:rsid w:val="0071629B"/>
    <w:rsid w:val="00722431"/>
    <w:rsid w:val="0072423D"/>
    <w:rsid w:val="00726B93"/>
    <w:rsid w:val="00731C3E"/>
    <w:rsid w:val="00733E56"/>
    <w:rsid w:val="00736CC9"/>
    <w:rsid w:val="00740F60"/>
    <w:rsid w:val="00743A93"/>
    <w:rsid w:val="007670C2"/>
    <w:rsid w:val="00767C65"/>
    <w:rsid w:val="00787F8F"/>
    <w:rsid w:val="007A174E"/>
    <w:rsid w:val="007A7FA6"/>
    <w:rsid w:val="007C3742"/>
    <w:rsid w:val="007C469F"/>
    <w:rsid w:val="007D32B7"/>
    <w:rsid w:val="007E1AD3"/>
    <w:rsid w:val="007E33A3"/>
    <w:rsid w:val="007E6F9A"/>
    <w:rsid w:val="007F0696"/>
    <w:rsid w:val="007F633A"/>
    <w:rsid w:val="007F7962"/>
    <w:rsid w:val="00803F79"/>
    <w:rsid w:val="00804134"/>
    <w:rsid w:val="00815A76"/>
    <w:rsid w:val="00817EAC"/>
    <w:rsid w:val="00831E94"/>
    <w:rsid w:val="00832606"/>
    <w:rsid w:val="00832757"/>
    <w:rsid w:val="00832AEE"/>
    <w:rsid w:val="00841F67"/>
    <w:rsid w:val="008433FC"/>
    <w:rsid w:val="00854588"/>
    <w:rsid w:val="00860F68"/>
    <w:rsid w:val="00866FF8"/>
    <w:rsid w:val="0087241F"/>
    <w:rsid w:val="00873893"/>
    <w:rsid w:val="00876A55"/>
    <w:rsid w:val="0087723B"/>
    <w:rsid w:val="00880308"/>
    <w:rsid w:val="008822A3"/>
    <w:rsid w:val="00882354"/>
    <w:rsid w:val="00882E28"/>
    <w:rsid w:val="008930C3"/>
    <w:rsid w:val="00897328"/>
    <w:rsid w:val="008A4120"/>
    <w:rsid w:val="008B442C"/>
    <w:rsid w:val="008C4F95"/>
    <w:rsid w:val="008D3421"/>
    <w:rsid w:val="008D72E9"/>
    <w:rsid w:val="008F1AF4"/>
    <w:rsid w:val="009123B6"/>
    <w:rsid w:val="00914215"/>
    <w:rsid w:val="0091532B"/>
    <w:rsid w:val="0091793A"/>
    <w:rsid w:val="00927979"/>
    <w:rsid w:val="00935124"/>
    <w:rsid w:val="00936441"/>
    <w:rsid w:val="009432E8"/>
    <w:rsid w:val="00960831"/>
    <w:rsid w:val="0099631A"/>
    <w:rsid w:val="009A3A9F"/>
    <w:rsid w:val="009A5F69"/>
    <w:rsid w:val="009B5DA7"/>
    <w:rsid w:val="009B79A6"/>
    <w:rsid w:val="009C757D"/>
    <w:rsid w:val="009C77A8"/>
    <w:rsid w:val="009D5A26"/>
    <w:rsid w:val="009F47C8"/>
    <w:rsid w:val="00A07882"/>
    <w:rsid w:val="00A10D81"/>
    <w:rsid w:val="00A172FA"/>
    <w:rsid w:val="00A243F9"/>
    <w:rsid w:val="00A24449"/>
    <w:rsid w:val="00A36228"/>
    <w:rsid w:val="00A3629D"/>
    <w:rsid w:val="00A40DB0"/>
    <w:rsid w:val="00A44B9B"/>
    <w:rsid w:val="00A660EB"/>
    <w:rsid w:val="00A67F51"/>
    <w:rsid w:val="00A80A68"/>
    <w:rsid w:val="00A86B36"/>
    <w:rsid w:val="00A92158"/>
    <w:rsid w:val="00A97410"/>
    <w:rsid w:val="00AA0126"/>
    <w:rsid w:val="00AA3927"/>
    <w:rsid w:val="00AA6D42"/>
    <w:rsid w:val="00AC1BD6"/>
    <w:rsid w:val="00AC209F"/>
    <w:rsid w:val="00AC3F95"/>
    <w:rsid w:val="00AC5490"/>
    <w:rsid w:val="00AC54BB"/>
    <w:rsid w:val="00AD1076"/>
    <w:rsid w:val="00AE0D58"/>
    <w:rsid w:val="00AE686B"/>
    <w:rsid w:val="00AF4291"/>
    <w:rsid w:val="00B026C8"/>
    <w:rsid w:val="00B1475A"/>
    <w:rsid w:val="00B156C6"/>
    <w:rsid w:val="00B21330"/>
    <w:rsid w:val="00B21344"/>
    <w:rsid w:val="00B22FE8"/>
    <w:rsid w:val="00B26B58"/>
    <w:rsid w:val="00B411B1"/>
    <w:rsid w:val="00B53525"/>
    <w:rsid w:val="00B719E4"/>
    <w:rsid w:val="00B72D49"/>
    <w:rsid w:val="00BA0533"/>
    <w:rsid w:val="00BA3EC6"/>
    <w:rsid w:val="00BA5116"/>
    <w:rsid w:val="00BA78FE"/>
    <w:rsid w:val="00BB7588"/>
    <w:rsid w:val="00BD713C"/>
    <w:rsid w:val="00BE0774"/>
    <w:rsid w:val="00BE48F0"/>
    <w:rsid w:val="00BE4F32"/>
    <w:rsid w:val="00C144AE"/>
    <w:rsid w:val="00C163C0"/>
    <w:rsid w:val="00C20205"/>
    <w:rsid w:val="00C21952"/>
    <w:rsid w:val="00C249CB"/>
    <w:rsid w:val="00C2536D"/>
    <w:rsid w:val="00C2562C"/>
    <w:rsid w:val="00C26F6D"/>
    <w:rsid w:val="00C3155A"/>
    <w:rsid w:val="00C3454E"/>
    <w:rsid w:val="00C3504F"/>
    <w:rsid w:val="00C40474"/>
    <w:rsid w:val="00C50C2C"/>
    <w:rsid w:val="00C77E9F"/>
    <w:rsid w:val="00C8398F"/>
    <w:rsid w:val="00C86683"/>
    <w:rsid w:val="00C90D1C"/>
    <w:rsid w:val="00C93A60"/>
    <w:rsid w:val="00C95320"/>
    <w:rsid w:val="00C9701E"/>
    <w:rsid w:val="00CA5471"/>
    <w:rsid w:val="00CB0EA0"/>
    <w:rsid w:val="00CD30A8"/>
    <w:rsid w:val="00CD57F8"/>
    <w:rsid w:val="00CF0606"/>
    <w:rsid w:val="00CF4236"/>
    <w:rsid w:val="00CF4E9A"/>
    <w:rsid w:val="00D01CBD"/>
    <w:rsid w:val="00D049CB"/>
    <w:rsid w:val="00D07C27"/>
    <w:rsid w:val="00D10848"/>
    <w:rsid w:val="00D10DB6"/>
    <w:rsid w:val="00D11495"/>
    <w:rsid w:val="00D12CEE"/>
    <w:rsid w:val="00D1448B"/>
    <w:rsid w:val="00D22E4A"/>
    <w:rsid w:val="00D3158D"/>
    <w:rsid w:val="00D34405"/>
    <w:rsid w:val="00D40927"/>
    <w:rsid w:val="00D41280"/>
    <w:rsid w:val="00D41B02"/>
    <w:rsid w:val="00D46C24"/>
    <w:rsid w:val="00D543D6"/>
    <w:rsid w:val="00D56760"/>
    <w:rsid w:val="00D662AE"/>
    <w:rsid w:val="00D667A4"/>
    <w:rsid w:val="00D6799D"/>
    <w:rsid w:val="00D725B5"/>
    <w:rsid w:val="00D7384E"/>
    <w:rsid w:val="00D86EA8"/>
    <w:rsid w:val="00D9442D"/>
    <w:rsid w:val="00D97BFC"/>
    <w:rsid w:val="00DA148D"/>
    <w:rsid w:val="00DA436F"/>
    <w:rsid w:val="00DB0A4C"/>
    <w:rsid w:val="00DB0B78"/>
    <w:rsid w:val="00DB6622"/>
    <w:rsid w:val="00DB6F29"/>
    <w:rsid w:val="00DE173D"/>
    <w:rsid w:val="00DE621B"/>
    <w:rsid w:val="00DF2FD4"/>
    <w:rsid w:val="00DF5B00"/>
    <w:rsid w:val="00E00260"/>
    <w:rsid w:val="00E016F8"/>
    <w:rsid w:val="00E0271A"/>
    <w:rsid w:val="00E06E56"/>
    <w:rsid w:val="00E13252"/>
    <w:rsid w:val="00E13B4B"/>
    <w:rsid w:val="00E15156"/>
    <w:rsid w:val="00E16AE4"/>
    <w:rsid w:val="00E3060B"/>
    <w:rsid w:val="00E445FE"/>
    <w:rsid w:val="00E52A32"/>
    <w:rsid w:val="00E5754C"/>
    <w:rsid w:val="00E57BDD"/>
    <w:rsid w:val="00E70B81"/>
    <w:rsid w:val="00E7196B"/>
    <w:rsid w:val="00E838B6"/>
    <w:rsid w:val="00E90B6D"/>
    <w:rsid w:val="00E9134A"/>
    <w:rsid w:val="00E93242"/>
    <w:rsid w:val="00EA3A02"/>
    <w:rsid w:val="00EA7409"/>
    <w:rsid w:val="00EB3FD2"/>
    <w:rsid w:val="00EC1F81"/>
    <w:rsid w:val="00EC3D26"/>
    <w:rsid w:val="00EC45DC"/>
    <w:rsid w:val="00ED0B4F"/>
    <w:rsid w:val="00ED1EDB"/>
    <w:rsid w:val="00EF2D04"/>
    <w:rsid w:val="00F01779"/>
    <w:rsid w:val="00F0619E"/>
    <w:rsid w:val="00F10ACB"/>
    <w:rsid w:val="00F10C43"/>
    <w:rsid w:val="00F21D6A"/>
    <w:rsid w:val="00F21D76"/>
    <w:rsid w:val="00F35CBA"/>
    <w:rsid w:val="00F4462E"/>
    <w:rsid w:val="00F46F4F"/>
    <w:rsid w:val="00F50E4C"/>
    <w:rsid w:val="00F563E8"/>
    <w:rsid w:val="00F635A2"/>
    <w:rsid w:val="00F664F7"/>
    <w:rsid w:val="00F723E5"/>
    <w:rsid w:val="00F73BD6"/>
    <w:rsid w:val="00F77C52"/>
    <w:rsid w:val="00F80CBA"/>
    <w:rsid w:val="00F81B80"/>
    <w:rsid w:val="00F81B9D"/>
    <w:rsid w:val="00F84050"/>
    <w:rsid w:val="00F96D2C"/>
    <w:rsid w:val="00FC724F"/>
    <w:rsid w:val="00FE75DF"/>
    <w:rsid w:val="00FE77E2"/>
    <w:rsid w:val="00FF7E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283C4"/>
  <w15:docId w15:val="{85088B35-5FB9-4E9E-9EB3-82601CE9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fr-FR" w:eastAsia="fr-FR" w:bidi="fr-F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CEE"/>
    <w:rPr>
      <w:rFonts w:ascii="Calibri" w:eastAsia="Times New Roman" w:hAnsi="Calibri"/>
      <w:sz w:val="24"/>
      <w:szCs w:val="24"/>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rPr>
  </w:style>
  <w:style w:type="paragraph" w:styleId="Heading2">
    <w:name w:val="heading 2"/>
    <w:basedOn w:val="BodyText"/>
    <w:next w:val="BodyText"/>
    <w:link w:val="Heading2Char"/>
    <w:autoRedefine/>
    <w:uiPriority w:val="9"/>
    <w:unhideWhenUsed/>
    <w:qFormat/>
    <w:rsid w:val="00D10DB6"/>
    <w:pPr>
      <w:keepNext/>
      <w:keepLines/>
      <w:ind w:right="545"/>
      <w:outlineLvl w:val="1"/>
    </w:pPr>
    <w:rPr>
      <w:b/>
      <w:color w:val="00408E"/>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DB6"/>
    <w:rPr>
      <w:b/>
      <w:color w:val="00408E"/>
      <w:sz w:val="24"/>
      <w:szCs w:val="24"/>
      <w:lang w:eastAsia="fr-FR"/>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fr-FR"/>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FooterChar">
    <w:name w:val="Footer Char"/>
    <w:basedOn w:val="DefaultParagraphFont"/>
    <w:link w:val="Footer"/>
    <w:uiPriority w:val="99"/>
    <w:rsid w:val="00A24449"/>
    <w:rPr>
      <w:rFonts w:ascii="Century Gothic" w:hAnsi="Century Gothic"/>
      <w:szCs w:val="22"/>
      <w:lang w:val="fr-FR"/>
    </w:rPr>
  </w:style>
  <w:style w:type="character" w:customStyle="1" w:styleId="Heading1Char">
    <w:name w:val="Heading 1 Char"/>
    <w:basedOn w:val="DefaultParagraphFont"/>
    <w:link w:val="Heading1"/>
    <w:uiPriority w:val="9"/>
    <w:rsid w:val="00CF4E9A"/>
    <w:rPr>
      <w:b/>
      <w:color w:val="00408E"/>
      <w:sz w:val="28"/>
      <w:szCs w:val="28"/>
      <w:lang w:val="fr-FR" w:eastAsia="fr-FR" w:bidi="fr-FR"/>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rPr>
  </w:style>
  <w:style w:type="character" w:customStyle="1" w:styleId="BodyTextChar">
    <w:name w:val="Body Text Char"/>
    <w:basedOn w:val="DefaultParagraphFont"/>
    <w:link w:val="BodyText"/>
    <w:uiPriority w:val="99"/>
    <w:rsid w:val="004E22C7"/>
    <w:rPr>
      <w:szCs w:val="22"/>
      <w:lang w:val="fr-FR" w:eastAsia="fr-FR" w:bidi="fr-FR"/>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fr-FR"/>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fr-FR"/>
    </w:rPr>
  </w:style>
  <w:style w:type="character" w:customStyle="1" w:styleId="Heading4Char">
    <w:name w:val="Heading 4 Char"/>
    <w:basedOn w:val="DefaultParagraphFont"/>
    <w:link w:val="Heading4"/>
    <w:uiPriority w:val="9"/>
    <w:rsid w:val="004E22C7"/>
    <w:rPr>
      <w:color w:val="00408E"/>
      <w:szCs w:val="22"/>
      <w:lang w:val="fr-FR"/>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4"/>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Bullet3">
    <w:name w:val="List Bullet 3"/>
    <w:basedOn w:val="Normal"/>
    <w:uiPriority w:val="99"/>
    <w:unhideWhenUsed/>
    <w:rsid w:val="003961C1"/>
    <w:pPr>
      <w:numPr>
        <w:numId w:val="1"/>
      </w:numPr>
      <w:spacing w:after="200" w:line="276" w:lineRule="auto"/>
      <w:contextualSpacing/>
      <w:jc w:val="both"/>
    </w:pPr>
    <w:rPr>
      <w:rFonts w:ascii="Century Gothic" w:eastAsia="Calibri" w:hAnsi="Century Gothic"/>
      <w:sz w:val="20"/>
      <w:szCs w:val="22"/>
    </w:rPr>
  </w:style>
  <w:style w:type="paragraph" w:styleId="ListBullet4">
    <w:name w:val="List Bullet 4"/>
    <w:basedOn w:val="Normal"/>
    <w:uiPriority w:val="99"/>
    <w:unhideWhenUsed/>
    <w:rsid w:val="003961C1"/>
    <w:pPr>
      <w:numPr>
        <w:numId w:val="2"/>
      </w:numPr>
      <w:spacing w:after="200" w:line="276" w:lineRule="auto"/>
      <w:contextualSpacing/>
      <w:jc w:val="both"/>
    </w:pPr>
    <w:rPr>
      <w:rFonts w:ascii="Century Gothic" w:eastAsia="Calibri" w:hAnsi="Century Gothic"/>
      <w:sz w:val="20"/>
      <w:szCs w:val="22"/>
    </w:rPr>
  </w:style>
  <w:style w:type="paragraph" w:styleId="ListBullet5">
    <w:name w:val="List Bullet 5"/>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163C0"/>
    <w:rPr>
      <w:sz w:val="18"/>
      <w:szCs w:val="18"/>
    </w:rPr>
  </w:style>
  <w:style w:type="paragraph" w:styleId="CommentText">
    <w:name w:val="annotation text"/>
    <w:basedOn w:val="Normal"/>
    <w:link w:val="CommentTextChar"/>
    <w:uiPriority w:val="99"/>
    <w:semiHidden/>
    <w:unhideWhenUsed/>
    <w:rsid w:val="00C163C0"/>
  </w:style>
  <w:style w:type="character" w:customStyle="1" w:styleId="CommentTextChar">
    <w:name w:val="Comment Text Char"/>
    <w:basedOn w:val="DefaultParagraphFont"/>
    <w:link w:val="CommentText"/>
    <w:uiPriority w:val="99"/>
    <w:semiHidden/>
    <w:rsid w:val="00C163C0"/>
    <w:rPr>
      <w:rFonts w:ascii="Calibri" w:eastAsia="Times New Roman" w:hAnsi="Calibri"/>
      <w:sz w:val="24"/>
      <w:szCs w:val="24"/>
      <w:lang w:val="fr-FR" w:eastAsia="fr-FR"/>
    </w:rPr>
  </w:style>
  <w:style w:type="paragraph" w:styleId="CommentSubject">
    <w:name w:val="annotation subject"/>
    <w:basedOn w:val="CommentText"/>
    <w:next w:val="CommentText"/>
    <w:link w:val="CommentSubjectChar"/>
    <w:uiPriority w:val="99"/>
    <w:semiHidden/>
    <w:unhideWhenUsed/>
    <w:rsid w:val="00C163C0"/>
    <w:rPr>
      <w:b/>
      <w:bCs/>
      <w:sz w:val="20"/>
      <w:szCs w:val="20"/>
    </w:rPr>
  </w:style>
  <w:style w:type="character" w:customStyle="1" w:styleId="CommentSubjectChar">
    <w:name w:val="Comment Subject Char"/>
    <w:basedOn w:val="CommentTextChar"/>
    <w:link w:val="CommentSubject"/>
    <w:uiPriority w:val="99"/>
    <w:semiHidden/>
    <w:rsid w:val="00C163C0"/>
    <w:rPr>
      <w:rFonts w:ascii="Calibri" w:eastAsia="Times New Roman" w:hAnsi="Calibri"/>
      <w:b/>
      <w:bCs/>
      <w:sz w:val="24"/>
      <w:szCs w:val="24"/>
      <w:lang w:val="fr-FR" w:eastAsia="fr-FR"/>
    </w:rPr>
  </w:style>
  <w:style w:type="paragraph" w:styleId="Revision">
    <w:name w:val="Revision"/>
    <w:hidden/>
    <w:uiPriority w:val="99"/>
    <w:semiHidden/>
    <w:rsid w:val="00C163C0"/>
    <w:rPr>
      <w:rFonts w:ascii="Calibri" w:eastAsia="Times New Roman" w:hAnsi="Calibri"/>
      <w:sz w:val="24"/>
      <w:szCs w:val="24"/>
    </w:rPr>
  </w:style>
  <w:style w:type="paragraph" w:styleId="NormalWeb">
    <w:name w:val="Normal (Web)"/>
    <w:basedOn w:val="Normal"/>
    <w:uiPriority w:val="99"/>
    <w:semiHidden/>
    <w:unhideWhenUsed/>
    <w:rsid w:val="00B411B1"/>
    <w:pPr>
      <w:spacing w:before="100" w:beforeAutospacing="1" w:after="100" w:afterAutospacing="1"/>
    </w:pPr>
    <w:rPr>
      <w:rFonts w:ascii="Times New Roman" w:hAnsi="Times New Roman"/>
    </w:rPr>
  </w:style>
  <w:style w:type="character" w:styleId="Strong">
    <w:name w:val="Strong"/>
    <w:basedOn w:val="DefaultParagraphFont"/>
    <w:uiPriority w:val="22"/>
    <w:qFormat/>
    <w:rsid w:val="00656C07"/>
    <w:rPr>
      <w:b/>
      <w:bCs/>
    </w:rPr>
  </w:style>
  <w:style w:type="character" w:styleId="FollowedHyperlink">
    <w:name w:val="FollowedHyperlink"/>
    <w:basedOn w:val="DefaultParagraphFont"/>
    <w:uiPriority w:val="99"/>
    <w:semiHidden/>
    <w:unhideWhenUsed/>
    <w:rsid w:val="004B6A85"/>
    <w:rPr>
      <w:color w:val="954F72" w:themeColor="followedHyperlink"/>
      <w:u w:val="single"/>
    </w:rPr>
  </w:style>
  <w:style w:type="paragraph" w:customStyle="1" w:styleId="Default">
    <w:name w:val="Default"/>
    <w:rsid w:val="008930C3"/>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rsid w:val="008724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14803">
      <w:bodyDiv w:val="1"/>
      <w:marLeft w:val="0"/>
      <w:marRight w:val="0"/>
      <w:marTop w:val="0"/>
      <w:marBottom w:val="0"/>
      <w:divBdr>
        <w:top w:val="none" w:sz="0" w:space="0" w:color="auto"/>
        <w:left w:val="none" w:sz="0" w:space="0" w:color="auto"/>
        <w:bottom w:val="none" w:sz="0" w:space="0" w:color="auto"/>
        <w:right w:val="none" w:sz="0" w:space="0" w:color="auto"/>
      </w:divBdr>
    </w:div>
    <w:div w:id="292446362">
      <w:bodyDiv w:val="1"/>
      <w:marLeft w:val="0"/>
      <w:marRight w:val="0"/>
      <w:marTop w:val="0"/>
      <w:marBottom w:val="0"/>
      <w:divBdr>
        <w:top w:val="none" w:sz="0" w:space="0" w:color="auto"/>
        <w:left w:val="none" w:sz="0" w:space="0" w:color="auto"/>
        <w:bottom w:val="none" w:sz="0" w:space="0" w:color="auto"/>
        <w:right w:val="none" w:sz="0" w:space="0" w:color="auto"/>
      </w:divBdr>
    </w:div>
    <w:div w:id="509107059">
      <w:bodyDiv w:val="1"/>
      <w:marLeft w:val="0"/>
      <w:marRight w:val="0"/>
      <w:marTop w:val="0"/>
      <w:marBottom w:val="0"/>
      <w:divBdr>
        <w:top w:val="none" w:sz="0" w:space="0" w:color="auto"/>
        <w:left w:val="none" w:sz="0" w:space="0" w:color="auto"/>
        <w:bottom w:val="none" w:sz="0" w:space="0" w:color="auto"/>
        <w:right w:val="none" w:sz="0" w:space="0" w:color="auto"/>
      </w:divBdr>
    </w:div>
    <w:div w:id="522980083">
      <w:bodyDiv w:val="1"/>
      <w:marLeft w:val="0"/>
      <w:marRight w:val="0"/>
      <w:marTop w:val="0"/>
      <w:marBottom w:val="0"/>
      <w:divBdr>
        <w:top w:val="none" w:sz="0" w:space="0" w:color="auto"/>
        <w:left w:val="none" w:sz="0" w:space="0" w:color="auto"/>
        <w:bottom w:val="none" w:sz="0" w:space="0" w:color="auto"/>
        <w:right w:val="none" w:sz="0" w:space="0" w:color="auto"/>
      </w:divBdr>
    </w:div>
    <w:div w:id="615214644">
      <w:bodyDiv w:val="1"/>
      <w:marLeft w:val="0"/>
      <w:marRight w:val="0"/>
      <w:marTop w:val="0"/>
      <w:marBottom w:val="0"/>
      <w:divBdr>
        <w:top w:val="none" w:sz="0" w:space="0" w:color="auto"/>
        <w:left w:val="none" w:sz="0" w:space="0" w:color="auto"/>
        <w:bottom w:val="none" w:sz="0" w:space="0" w:color="auto"/>
        <w:right w:val="none" w:sz="0" w:space="0" w:color="auto"/>
      </w:divBdr>
    </w:div>
    <w:div w:id="1329942037">
      <w:bodyDiv w:val="1"/>
      <w:marLeft w:val="0"/>
      <w:marRight w:val="0"/>
      <w:marTop w:val="0"/>
      <w:marBottom w:val="0"/>
      <w:divBdr>
        <w:top w:val="none" w:sz="0" w:space="0" w:color="auto"/>
        <w:left w:val="none" w:sz="0" w:space="0" w:color="auto"/>
        <w:bottom w:val="none" w:sz="0" w:space="0" w:color="auto"/>
        <w:right w:val="none" w:sz="0" w:space="0" w:color="auto"/>
      </w:divBdr>
    </w:div>
    <w:div w:id="1394043815">
      <w:bodyDiv w:val="1"/>
      <w:marLeft w:val="0"/>
      <w:marRight w:val="0"/>
      <w:marTop w:val="0"/>
      <w:marBottom w:val="0"/>
      <w:divBdr>
        <w:top w:val="none" w:sz="0" w:space="0" w:color="auto"/>
        <w:left w:val="none" w:sz="0" w:space="0" w:color="auto"/>
        <w:bottom w:val="none" w:sz="0" w:space="0" w:color="auto"/>
        <w:right w:val="none" w:sz="0" w:space="0" w:color="auto"/>
      </w:divBdr>
    </w:div>
    <w:div w:id="1498570855">
      <w:bodyDiv w:val="1"/>
      <w:marLeft w:val="0"/>
      <w:marRight w:val="0"/>
      <w:marTop w:val="0"/>
      <w:marBottom w:val="0"/>
      <w:divBdr>
        <w:top w:val="none" w:sz="0" w:space="0" w:color="auto"/>
        <w:left w:val="none" w:sz="0" w:space="0" w:color="auto"/>
        <w:bottom w:val="none" w:sz="0" w:space="0" w:color="auto"/>
        <w:right w:val="none" w:sz="0" w:space="0" w:color="auto"/>
      </w:divBdr>
    </w:div>
    <w:div w:id="1500658365">
      <w:bodyDiv w:val="1"/>
      <w:marLeft w:val="0"/>
      <w:marRight w:val="0"/>
      <w:marTop w:val="0"/>
      <w:marBottom w:val="0"/>
      <w:divBdr>
        <w:top w:val="none" w:sz="0" w:space="0" w:color="auto"/>
        <w:left w:val="none" w:sz="0" w:space="0" w:color="auto"/>
        <w:bottom w:val="none" w:sz="0" w:space="0" w:color="auto"/>
        <w:right w:val="none" w:sz="0" w:space="0" w:color="auto"/>
      </w:divBdr>
    </w:div>
    <w:div w:id="1501310596">
      <w:bodyDiv w:val="1"/>
      <w:marLeft w:val="0"/>
      <w:marRight w:val="0"/>
      <w:marTop w:val="0"/>
      <w:marBottom w:val="0"/>
      <w:divBdr>
        <w:top w:val="none" w:sz="0" w:space="0" w:color="auto"/>
        <w:left w:val="none" w:sz="0" w:space="0" w:color="auto"/>
        <w:bottom w:val="none" w:sz="0" w:space="0" w:color="auto"/>
        <w:right w:val="none" w:sz="0" w:space="0" w:color="auto"/>
      </w:divBdr>
    </w:div>
    <w:div w:id="1537159033">
      <w:bodyDiv w:val="1"/>
      <w:marLeft w:val="0"/>
      <w:marRight w:val="0"/>
      <w:marTop w:val="0"/>
      <w:marBottom w:val="0"/>
      <w:divBdr>
        <w:top w:val="none" w:sz="0" w:space="0" w:color="auto"/>
        <w:left w:val="none" w:sz="0" w:space="0" w:color="auto"/>
        <w:bottom w:val="none" w:sz="0" w:space="0" w:color="auto"/>
        <w:right w:val="none" w:sz="0" w:space="0" w:color="auto"/>
      </w:divBdr>
    </w:div>
    <w:div w:id="1670863130">
      <w:bodyDiv w:val="1"/>
      <w:marLeft w:val="0"/>
      <w:marRight w:val="0"/>
      <w:marTop w:val="0"/>
      <w:marBottom w:val="0"/>
      <w:divBdr>
        <w:top w:val="none" w:sz="0" w:space="0" w:color="auto"/>
        <w:left w:val="none" w:sz="0" w:space="0" w:color="auto"/>
        <w:bottom w:val="none" w:sz="0" w:space="0" w:color="auto"/>
        <w:right w:val="none" w:sz="0" w:space="0" w:color="auto"/>
      </w:divBdr>
    </w:div>
    <w:div w:id="1725372603">
      <w:bodyDiv w:val="1"/>
      <w:marLeft w:val="0"/>
      <w:marRight w:val="0"/>
      <w:marTop w:val="0"/>
      <w:marBottom w:val="0"/>
      <w:divBdr>
        <w:top w:val="none" w:sz="0" w:space="0" w:color="auto"/>
        <w:left w:val="none" w:sz="0" w:space="0" w:color="auto"/>
        <w:bottom w:val="none" w:sz="0" w:space="0" w:color="auto"/>
        <w:right w:val="none" w:sz="0" w:space="0" w:color="auto"/>
      </w:divBdr>
    </w:div>
    <w:div w:id="2034573625">
      <w:bodyDiv w:val="1"/>
      <w:marLeft w:val="0"/>
      <w:marRight w:val="0"/>
      <w:marTop w:val="0"/>
      <w:marBottom w:val="0"/>
      <w:divBdr>
        <w:top w:val="none" w:sz="0" w:space="0" w:color="auto"/>
        <w:left w:val="none" w:sz="0" w:space="0" w:color="auto"/>
        <w:bottom w:val="none" w:sz="0" w:space="0" w:color="auto"/>
        <w:right w:val="none" w:sz="0" w:space="0" w:color="auto"/>
      </w:divBdr>
    </w:div>
    <w:div w:id="204251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ccwg-acct-ws2-final-27mar18-en.pdf" TargetMode="External"/><Relationship Id="rId13" Type="http://schemas.openxmlformats.org/officeDocument/2006/relationships/hyperlink" Target="https://community.icann.org/display/WEIA/Jurisdic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munity.icann.org/display/WEIA/Jurisdic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mmunity.icann.org/pages/viewpage.action?pageId=5964328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isplay/WEIA/WS2+-+Enhancing+ICANN+Accountability+Home" TargetMode="External"/><Relationship Id="rId5" Type="http://schemas.openxmlformats.org/officeDocument/2006/relationships/webSettings" Target="webSettings.xml"/><Relationship Id="rId15" Type="http://schemas.openxmlformats.org/officeDocument/2006/relationships/hyperlink" Target="https://community.icann.org/display/WEIA/Human+Rights" TargetMode="External"/><Relationship Id="rId10" Type="http://schemas.openxmlformats.org/officeDocument/2006/relationships/hyperlink" Target="https://community.icann.org/display/WEIA/WS2+-+Enhancing+ICANN+Accountability+Hom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Users\tomwdale\Downloads\Enhancing%20ICANN%20Accountability%20FINAL%20-%20Clean%20-%20Charter%20-%20updated%203%20November%202014%20(1).pdf" TargetMode="External"/><Relationship Id="rId14" Type="http://schemas.openxmlformats.org/officeDocument/2006/relationships/hyperlink" Target="https://community.icann.org/display/WEIA/Diversit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en/system/files/correspondence/gac-to-board-09mar16-en.pdf" TargetMode="External"/><Relationship Id="rId2" Type="http://schemas.openxmlformats.org/officeDocument/2006/relationships/hyperlink" Target="https://mm.icann.org/pipermail/comments-ccwg-acct-ws2-final-30mar18/attachments/20180511/7043bf04/ICANN-WS2-2emeconsultation-Juridiction-CommentairesduGouvernementfrancais-0001.pdf" TargetMode="External"/><Relationship Id="rId1" Type="http://schemas.openxmlformats.org/officeDocument/2006/relationships/hyperlink" Target="https://mm.icann.org/pipermail/comments-ccwg-acct-ws2-final-30mar18/attachments/20180511/7043bf04/ICANN-WS2-2emeconsultation-Diversite-CommentairesduGouvernementfrancais-00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Lim\Dropbox%20(ACIG)\GAC%20Secretariat\Template%20-%20ACIG%20GAC%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E2AC7-FB8C-4190-BF1C-A0D8F0BD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ACIG GAC Briefing</Template>
  <TotalTime>109</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8165</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Tracey</dc:creator>
  <cp:lastModifiedBy>LS Pros</cp:lastModifiedBy>
  <cp:revision>20</cp:revision>
  <cp:lastPrinted>2017-02-17T01:54:00Z</cp:lastPrinted>
  <dcterms:created xsi:type="dcterms:W3CDTF">2018-05-28T03:59:00Z</dcterms:created>
  <dcterms:modified xsi:type="dcterms:W3CDTF">2018-07-02T19:01:00Z</dcterms:modified>
</cp:coreProperties>
</file>